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05E55A0" w:rsidR="000E0F0A" w:rsidRPr="00951906" w:rsidRDefault="000E0F0A" w:rsidP="00CB673E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BD5B75" w:rsidRPr="00BD5B75">
        <w:rPr>
          <w:rFonts w:ascii="Arial" w:hAnsi="Arial" w:cs="Arial"/>
          <w:b/>
          <w:bCs/>
        </w:rPr>
        <w:t>Adquisición de elementos para el Centro Computo y el CRE de la Seccional Girardot, vigencia 2025</w:t>
      </w:r>
      <w:r w:rsidR="00CB673E" w:rsidRPr="00CB673E">
        <w:rPr>
          <w:rFonts w:ascii="Arial" w:hAnsi="Arial" w:cs="Arial"/>
          <w:b/>
          <w:bCs/>
        </w:rPr>
        <w:t>.</w:t>
      </w:r>
      <w:r w:rsidR="00C213A8">
        <w:rPr>
          <w:rFonts w:ascii="Arial" w:hAnsi="Arial" w:cs="Arial"/>
          <w:b/>
          <w:bCs/>
        </w:rPr>
        <w:t>”</w:t>
      </w:r>
      <w:r w:rsidR="00C213A8" w:rsidRPr="00C213A8">
        <w:rPr>
          <w:rStyle w:val="apple-converted-space"/>
          <w:rFonts w:ascii="Arial" w:hAnsi="Arial" w:cs="Arial"/>
          <w:b/>
          <w:bCs/>
          <w:lang w:val="es-ES"/>
        </w:rPr>
        <w:t xml:space="preserve"> 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83BE" w14:textId="77777777" w:rsidR="00D47FBB" w:rsidRDefault="00D47FBB">
      <w:r>
        <w:separator/>
      </w:r>
    </w:p>
  </w:endnote>
  <w:endnote w:type="continuationSeparator" w:id="0">
    <w:p w14:paraId="31D05B05" w14:textId="77777777" w:rsidR="00D47FBB" w:rsidRDefault="00D4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D47FBB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D47FBB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D926" w14:textId="77777777" w:rsidR="00D47FBB" w:rsidRDefault="00D47FBB">
      <w:r>
        <w:separator/>
      </w:r>
    </w:p>
  </w:footnote>
  <w:footnote w:type="continuationSeparator" w:id="0">
    <w:p w14:paraId="3BBF93F7" w14:textId="77777777" w:rsidR="00D47FBB" w:rsidRDefault="00D4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49A1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C3565"/>
    <w:rsid w:val="001F2670"/>
    <w:rsid w:val="00235CF8"/>
    <w:rsid w:val="002427FA"/>
    <w:rsid w:val="00247A8D"/>
    <w:rsid w:val="002A0BC0"/>
    <w:rsid w:val="002A77C2"/>
    <w:rsid w:val="002D694F"/>
    <w:rsid w:val="00327912"/>
    <w:rsid w:val="00341A1B"/>
    <w:rsid w:val="003859D1"/>
    <w:rsid w:val="003922EA"/>
    <w:rsid w:val="003B01BB"/>
    <w:rsid w:val="003B7D80"/>
    <w:rsid w:val="003C0AC2"/>
    <w:rsid w:val="003E3E55"/>
    <w:rsid w:val="00434811"/>
    <w:rsid w:val="0043518B"/>
    <w:rsid w:val="00471823"/>
    <w:rsid w:val="00475C0C"/>
    <w:rsid w:val="004A06CF"/>
    <w:rsid w:val="004B0AD3"/>
    <w:rsid w:val="00516339"/>
    <w:rsid w:val="00563152"/>
    <w:rsid w:val="0056727E"/>
    <w:rsid w:val="00572646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6D2B33"/>
    <w:rsid w:val="00744805"/>
    <w:rsid w:val="007617FC"/>
    <w:rsid w:val="0079038D"/>
    <w:rsid w:val="00791BEE"/>
    <w:rsid w:val="007A7070"/>
    <w:rsid w:val="007A73A3"/>
    <w:rsid w:val="007D6C51"/>
    <w:rsid w:val="007E18DA"/>
    <w:rsid w:val="008343EC"/>
    <w:rsid w:val="00872ED0"/>
    <w:rsid w:val="00883939"/>
    <w:rsid w:val="00890802"/>
    <w:rsid w:val="009708A6"/>
    <w:rsid w:val="009D36BE"/>
    <w:rsid w:val="00A03ABD"/>
    <w:rsid w:val="00A15186"/>
    <w:rsid w:val="00A21272"/>
    <w:rsid w:val="00A55B04"/>
    <w:rsid w:val="00A56A8D"/>
    <w:rsid w:val="00AB22BC"/>
    <w:rsid w:val="00B206DF"/>
    <w:rsid w:val="00B342E9"/>
    <w:rsid w:val="00B431F2"/>
    <w:rsid w:val="00B45E60"/>
    <w:rsid w:val="00B74E04"/>
    <w:rsid w:val="00B96428"/>
    <w:rsid w:val="00BB11A0"/>
    <w:rsid w:val="00BC01CC"/>
    <w:rsid w:val="00BD5B75"/>
    <w:rsid w:val="00BE6306"/>
    <w:rsid w:val="00C146D5"/>
    <w:rsid w:val="00C213A8"/>
    <w:rsid w:val="00C510CD"/>
    <w:rsid w:val="00CB3B78"/>
    <w:rsid w:val="00CB673E"/>
    <w:rsid w:val="00CD6131"/>
    <w:rsid w:val="00CE0DD2"/>
    <w:rsid w:val="00D43DD7"/>
    <w:rsid w:val="00D47FBB"/>
    <w:rsid w:val="00D7496F"/>
    <w:rsid w:val="00D7596E"/>
    <w:rsid w:val="00DA70EA"/>
    <w:rsid w:val="00DB3B82"/>
    <w:rsid w:val="00DD063C"/>
    <w:rsid w:val="00E11504"/>
    <w:rsid w:val="00E546D2"/>
    <w:rsid w:val="00E81366"/>
    <w:rsid w:val="00EA04F2"/>
    <w:rsid w:val="00EA53A6"/>
    <w:rsid w:val="00ED5BDE"/>
    <w:rsid w:val="00EE45C5"/>
    <w:rsid w:val="00F10E9C"/>
    <w:rsid w:val="00F20B6F"/>
    <w:rsid w:val="00F4216A"/>
    <w:rsid w:val="00F45FC1"/>
    <w:rsid w:val="00F478E8"/>
    <w:rsid w:val="00F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2766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Wilson Rivera Mendez</cp:lastModifiedBy>
  <cp:revision>9</cp:revision>
  <cp:lastPrinted>2024-09-02T23:12:00Z</cp:lastPrinted>
  <dcterms:created xsi:type="dcterms:W3CDTF">2025-07-15T00:23:00Z</dcterms:created>
  <dcterms:modified xsi:type="dcterms:W3CDTF">2025-09-23T14:51:00Z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