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0E3AF16B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5B62BB" w:rsidRPr="005B62BB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ELABORACIÓN E IMPRESIÓN DE ELEMENTOS Y RECONOCIMIENTOS INSTITUCIONALES PARA EL IX ENCUENTRO DE GESTIÓN, CELEBRACIÓN DEL DÍA DEL SERVIDOR PÚBLICO Y JORNADA DE SENSIBILIZACIÓN DE TRANSPARENCIA E INTEGRIDAD UNIVERSITARIA, VIGENCIA 2025.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4373EE3B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5B62BB" w:rsidRPr="005B62BB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CONTRATAR EL SERVICIO DE ELABORACIÓN E IMPRESIÓN DE ELEMENTOS Y RECONOCIMIENTOS INSTITUCIONALES PARA EL IX ENCUENTRO DE GESTIÓN, CELEBRACIÓN DEL DÍA DEL SERVIDOR </w:t>
      </w:r>
      <w:r w:rsidR="005B62BB" w:rsidRPr="005B62BB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lastRenderedPageBreak/>
        <w:t>PÚBLICO Y JORNADA DE SENSIBILIZACIÓN DE TRANSPARENCIA E INTEGRIDAD UNIVERSITARIA, VIGENCIA 2025.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640FC29D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5B62BB" w:rsidRPr="005B62BB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ELABORACIÓN E IMPRESIÓN DE ELEMENTOS Y RECONOCIMIENTOS INSTITUCIONALES PARA EL IX ENCUENTRO DE GESTIÓN, CELEBRACIÓN DEL DÍA DEL SERVIDOR PÚBLICO Y JORNADA DE SENSIBILIZACIÓN DE TRANSPARENCIA E INTEGRIDAD UNIVERSITARIA, VIGENCIA 2025.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3F9BD354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5B62BB" w:rsidRPr="005B62BB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ELABORACIÓN E IMPRESIÓN DE ELEMENTOS Y RECONOCIMIENTOS INSTITUCIONALES PARA EL IX ENCUENTRO DE GESTIÓN, CELEBRACIÓN DEL DÍA DEL SERVIDOR PÚBLICO Y JORNADA DE SENSIBILIZACIÓN DE TRANSPARENCIA E INTEGRIDAD UNIVERSITARIA, VIGENCIA 2025.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lastRenderedPageBreak/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E1B2" w14:textId="77777777" w:rsidR="00851598" w:rsidRDefault="00851598" w:rsidP="0044036E">
      <w:r>
        <w:separator/>
      </w:r>
    </w:p>
  </w:endnote>
  <w:endnote w:type="continuationSeparator" w:id="0">
    <w:p w14:paraId="7E36D9BA" w14:textId="77777777" w:rsidR="00851598" w:rsidRDefault="00851598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0027" w14:textId="77777777" w:rsidR="00851598" w:rsidRDefault="00851598" w:rsidP="0044036E">
      <w:r>
        <w:separator/>
      </w:r>
    </w:p>
  </w:footnote>
  <w:footnote w:type="continuationSeparator" w:id="0">
    <w:p w14:paraId="5FB5DF28" w14:textId="77777777" w:rsidR="00851598" w:rsidRDefault="00851598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33980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B62BB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51598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675</Words>
  <Characters>3717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Claudia Patricia Rodriguez Pulgarin</cp:lastModifiedBy>
  <cp:revision>5</cp:revision>
  <cp:lastPrinted>2024-08-07T00:13:00Z</cp:lastPrinted>
  <dcterms:created xsi:type="dcterms:W3CDTF">2024-08-07T00:19:00Z</dcterms:created>
  <dcterms:modified xsi:type="dcterms:W3CDTF">2025-09-24T20:30:00Z</dcterms:modified>
</cp:coreProperties>
</file>