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639EB232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077F09"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077F09" w:rsidRPr="00EB3FD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ADQUISICIÓN</w:t>
      </w:r>
      <w:r w:rsidR="00077F09" w:rsidRPr="00425EBF">
        <w:rPr>
          <w:rFonts w:ascii="Arial" w:hAnsi="Arial" w:cs="Arial"/>
          <w:b/>
          <w:bCs/>
          <w:sz w:val="22"/>
          <w:szCs w:val="22"/>
          <w:lang w:eastAsia="ja-JP"/>
        </w:rPr>
        <w:t xml:space="preserve"> DE MAQUINARIA PARA EL MANTENIMIENTO DE LA PLANTA </w:t>
      </w:r>
      <w:r w:rsidR="00077F09" w:rsidRPr="00EB3FD0">
        <w:rPr>
          <w:rFonts w:ascii="Arial" w:hAnsi="Arial" w:cs="Arial"/>
          <w:b/>
          <w:bCs/>
          <w:sz w:val="22"/>
          <w:szCs w:val="22"/>
          <w:lang w:eastAsia="ja-JP"/>
        </w:rPr>
        <w:t>FÍSICA</w:t>
      </w:r>
      <w:r w:rsidR="00077F09" w:rsidRPr="00425EBF">
        <w:rPr>
          <w:rFonts w:ascii="Arial" w:hAnsi="Arial" w:cs="Arial"/>
          <w:b/>
          <w:bCs/>
          <w:sz w:val="22"/>
          <w:szCs w:val="22"/>
          <w:lang w:eastAsia="ja-JP"/>
        </w:rPr>
        <w:t xml:space="preserve"> DE LA EXTENSIÓN SOACHA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840D8F4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B014DA" w:rsidRPr="00EB3FD0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077F09" w:rsidRPr="00EB3FD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ADQUISICIÓN</w:t>
      </w:r>
      <w:r w:rsidR="00077F09" w:rsidRPr="00EB3FD0">
        <w:rPr>
          <w:rFonts w:ascii="Arial" w:hAnsi="Arial" w:cs="Arial"/>
          <w:b/>
          <w:bCs/>
          <w:sz w:val="22"/>
          <w:szCs w:val="22"/>
          <w:lang w:eastAsia="ja-JP"/>
        </w:rPr>
        <w:t xml:space="preserve"> DE MAQUINARIA PARA EL MANTENIMIENTO DE LA PLANTA FÍSICA DE LA EXTENSIÓN SOACHA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283E1F8C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077F09" w:rsidRPr="00EB3FD0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077F09" w:rsidRPr="00EB3FD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ADQUISICIÓN</w:t>
      </w:r>
      <w:r w:rsidR="00077F09" w:rsidRPr="00EB3FD0">
        <w:rPr>
          <w:rFonts w:ascii="Arial" w:hAnsi="Arial" w:cs="Arial"/>
          <w:b/>
          <w:bCs/>
          <w:sz w:val="22"/>
          <w:szCs w:val="22"/>
          <w:lang w:eastAsia="ja-JP"/>
        </w:rPr>
        <w:t xml:space="preserve"> DE MAQUINARIA PARA EL MANTENIMIENTO DE LA PLANTA FÍSICA DE LA EXTENSIÓN SOACHA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28526A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F84B07" w:rsidRPr="00EB3FD0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077F09" w:rsidRPr="00EB3FD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eastAsia="en-US"/>
        </w:rPr>
        <w:t>ADQUISICIÓN</w:t>
      </w:r>
      <w:r w:rsidR="00077F09" w:rsidRPr="00EB3FD0">
        <w:rPr>
          <w:rFonts w:ascii="Arial" w:hAnsi="Arial" w:cs="Arial"/>
          <w:b/>
          <w:bCs/>
          <w:sz w:val="22"/>
          <w:szCs w:val="22"/>
          <w:lang w:eastAsia="ja-JP"/>
        </w:rPr>
        <w:t xml:space="preserve"> DE MAQUINARIA PARA EL MANTENIMIENTO DE LA PLANTA FÍSICA DE LA EXTENSIÓN SOACHA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</w:t>
      </w:r>
      <w:bookmarkStart w:id="0" w:name="_GoBack"/>
      <w:bookmarkEnd w:id="0"/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702B2" w14:textId="77777777" w:rsidR="00CE32BD" w:rsidRDefault="00CE32BD" w:rsidP="0044036E">
      <w:r>
        <w:separator/>
      </w:r>
    </w:p>
  </w:endnote>
  <w:endnote w:type="continuationSeparator" w:id="0">
    <w:p w14:paraId="382A87A5" w14:textId="77777777" w:rsidR="00CE32BD" w:rsidRDefault="00CE32B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E32B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29BC" w14:textId="77777777" w:rsidR="00CE32BD" w:rsidRDefault="00CE32BD" w:rsidP="0044036E">
      <w:r>
        <w:separator/>
      </w:r>
    </w:p>
  </w:footnote>
  <w:footnote w:type="continuationSeparator" w:id="0">
    <w:p w14:paraId="216D5DB0" w14:textId="77777777" w:rsidR="00CE32BD" w:rsidRDefault="00CE32B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FED90B8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77F09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77F09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77F0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14DA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32B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3FD0"/>
    <w:rsid w:val="00EB60A5"/>
    <w:rsid w:val="00F358CE"/>
    <w:rsid w:val="00F7579E"/>
    <w:rsid w:val="00F84B07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8162-78E7-4319-A77A-B4A9E7E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3658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7</cp:revision>
  <cp:lastPrinted>2023-08-25T20:57:00Z</cp:lastPrinted>
  <dcterms:created xsi:type="dcterms:W3CDTF">2024-02-27T20:39:00Z</dcterms:created>
  <dcterms:modified xsi:type="dcterms:W3CDTF">2024-04-12T15:01:00Z</dcterms:modified>
</cp:coreProperties>
</file>