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6089B0D3" w:rsidR="00660F72" w:rsidRPr="00CF1162" w:rsidRDefault="00660F72" w:rsidP="00CF1162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CF1162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CF1162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371F0C" w:rsidRPr="00CF1162">
        <w:rPr>
          <w:rFonts w:cs="Arial"/>
          <w:b/>
          <w:bCs/>
          <w:sz w:val="20"/>
          <w:szCs w:val="20"/>
          <w:lang w:val="es-CO" w:eastAsia="ja-JP"/>
        </w:rPr>
        <w:t>CONTRATAR LA RENOVACIÓN DE SUSCRIPCIÓN A BITLY, PARA ACORTAMIENTO DE URLS INCLUIDAS EN EL CONTENIDO Y LA</w:t>
      </w:r>
      <w:r w:rsidR="00371F0C" w:rsidRPr="00CF1162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371F0C" w:rsidRPr="00CF1162">
        <w:rPr>
          <w:rFonts w:cs="Arial"/>
          <w:b/>
          <w:bCs/>
          <w:sz w:val="20"/>
          <w:szCs w:val="20"/>
          <w:lang w:val="es-CO" w:eastAsia="ja-JP"/>
        </w:rPr>
        <w:t>BIBLIOGRAFÍA DE LAS PUBLICACIONES PERIÓDICAS Y NO PERIÓDICAS DE LA EDITORIAL DE LA UNIVERSIDAD DE CUNDINAMARCA</w:t>
      </w:r>
      <w:r w:rsidR="004A53B6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.</w:t>
      </w:r>
      <w:r w:rsidR="004A53B6" w:rsidRPr="00CF1162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CF1162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CF1162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2023-09-08T14:33:00Z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