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ED8DCA4" w14:textId="7D283782" w:rsidR="003818BC" w:rsidRPr="008A455B" w:rsidRDefault="00B92E0C" w:rsidP="00D13DA2">
      <w:pPr>
        <w:pStyle w:val="Default"/>
        <w:jc w:val="both"/>
        <w:rPr>
          <w:rFonts w:cs="Arial"/>
          <w:color w:val="FF0000"/>
          <w:lang w:val="es-CO"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C23949" w:rsidRPr="00C23949">
        <w:rPr>
          <w:rFonts w:eastAsiaTheme="minorHAnsi" w:cs="Arial"/>
          <w:b/>
          <w:sz w:val="22"/>
          <w:szCs w:val="22"/>
          <w:lang w:val="es-419" w:eastAsia="en-US"/>
        </w:rPr>
        <w:t>MANTENIMIENTO DE LA TRANSFERENCIA ELÉCTRICA DE LA BIBLIOTECA PARA LA UNIVERSIDAD DE CUNDINAMARCA SEDE FUSAGASUGÁ</w:t>
      </w:r>
      <w:r w:rsidR="002D5A40">
        <w:rPr>
          <w:rFonts w:ascii="Helvetica" w:eastAsiaTheme="minorHAnsi" w:hAnsi="Helvetica" w:cs="Helvetica"/>
          <w:sz w:val="14"/>
          <w:szCs w:val="14"/>
          <w:lang w:val="es-419" w:eastAsia="en-US"/>
        </w:rPr>
        <w:t>.</w:t>
      </w:r>
      <w:r w:rsidR="00C50718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</w:t>
      </w:r>
      <w:r w:rsidR="0064351C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.</w:t>
      </w:r>
    </w:p>
    <w:p w14:paraId="48E90165" w14:textId="77777777" w:rsidR="00413076" w:rsidRPr="008977F5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7527BB45" w:rsidR="003818BC" w:rsidRPr="00EC4928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4928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EC4928">
              <w:rPr>
                <w:rFonts w:ascii="Arial" w:hAnsi="Arial" w:cs="Arial"/>
                <w:sz w:val="22"/>
                <w:szCs w:val="22"/>
              </w:rPr>
              <w:t>-</w:t>
            </w:r>
            <w:r w:rsidR="00C23949">
              <w:rPr>
                <w:rFonts w:ascii="Arial" w:hAnsi="Arial" w:cs="Arial"/>
                <w:sz w:val="22"/>
                <w:szCs w:val="22"/>
              </w:rPr>
              <w:t>207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P</w:t>
      </w:r>
      <w:r w:rsidRPr="005B23AF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J</w:t>
      </w:r>
      <w:r w:rsidRPr="005B23AF">
        <w:rPr>
          <w:rFonts w:ascii="Arial" w:hAnsi="Arial" w:cs="Arial"/>
          <w:sz w:val="22"/>
          <w:szCs w:val="22"/>
          <w:highlight w:val="yellow"/>
        </w:rPr>
        <w:t>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3D529E15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5D30DF">
        <w:rPr>
          <w:rFonts w:ascii="Arial" w:hAnsi="Arial" w:cs="Arial"/>
          <w:b/>
          <w:bCs/>
          <w:sz w:val="22"/>
          <w:szCs w:val="22"/>
        </w:rPr>
        <w:t xml:space="preserve"> </w:t>
      </w:r>
      <w:r w:rsidR="006E1CC2" w:rsidRPr="0098773A">
        <w:rPr>
          <w:color w:val="auto"/>
          <w:bdr w:val="none" w:sz="0" w:space="0" w:color="auto"/>
          <w:lang w:eastAsia="ja-JP"/>
        </w:rPr>
        <w:t>“</w:t>
      </w:r>
      <w:bookmarkStart w:id="2" w:name="_GoBack"/>
      <w:r w:rsidR="00C23949" w:rsidRPr="00C23949">
        <w:rPr>
          <w:rFonts w:ascii="Arial" w:eastAsiaTheme="minorHAnsi" w:hAnsi="Arial" w:cs="Arial"/>
          <w:b/>
          <w:sz w:val="22"/>
          <w:szCs w:val="22"/>
          <w:lang w:val="es-419" w:eastAsia="en-US"/>
        </w:rPr>
        <w:t>MANTENIMIENTO DE LA TRANSFERENCIA ELÉCTRICA DE LA BIBLIOTECA PARA LA UNIVERSIDAD DE CUNDINAMARCA SEDE FUSAGASUGÁ</w:t>
      </w:r>
      <w:bookmarkEnd w:id="2"/>
      <w:r w:rsidR="002D5A40">
        <w:rPr>
          <w:rFonts w:ascii="Helvetica" w:eastAsiaTheme="minorHAnsi" w:hAnsi="Helvetica" w:cs="Helvetica"/>
          <w:sz w:val="14"/>
          <w:szCs w:val="14"/>
          <w:lang w:val="es-419" w:eastAsia="en-US"/>
        </w:rPr>
        <w:t>.</w:t>
      </w:r>
      <w:r w:rsidR="006E1CC2" w:rsidRPr="0098773A">
        <w:rPr>
          <w:color w:val="auto"/>
          <w:bdr w:val="none" w:sz="0" w:space="0" w:color="auto"/>
          <w:lang w:eastAsia="ja-JP"/>
        </w:rPr>
        <w:t>”</w:t>
      </w:r>
      <w:r w:rsidR="006E1CC2" w:rsidRPr="008A455B">
        <w:rPr>
          <w:rStyle w:val="apple-converted-space"/>
          <w:rFonts w:ascii="Arial" w:hAnsi="Arial" w:cs="Arial"/>
          <w:b/>
          <w:bCs/>
          <w:color w:val="FF0000"/>
          <w:sz w:val="22"/>
          <w:szCs w:val="22"/>
          <w:bdr w:val="none" w:sz="0" w:space="0" w:color="auto" w:frame="1"/>
          <w:lang w:eastAsia="en-US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>
        <w:rPr>
          <w:rFonts w:ascii="Arial" w:hAnsi="Arial" w:cs="Arial"/>
          <w:sz w:val="22"/>
          <w:szCs w:val="22"/>
        </w:rPr>
        <w:t>.</w:t>
      </w:r>
      <w:r w:rsidRPr="008977F5">
        <w:rPr>
          <w:rFonts w:ascii="Arial" w:hAnsi="Arial" w:cs="Arial"/>
          <w:sz w:val="22"/>
          <w:szCs w:val="22"/>
        </w:rPr>
        <w:t xml:space="preserve"> </w:t>
      </w:r>
    </w:p>
    <w:p w14:paraId="7C9B76A9" w14:textId="2266B883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5B23AF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="005B23AF"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7F0C13DA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3A3776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655C37F8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  <w:r w:rsidR="00DC7776">
        <w:rPr>
          <w:rFonts w:ascii="Arial" w:hAnsi="Arial" w:cs="Arial"/>
          <w:sz w:val="22"/>
          <w:szCs w:val="22"/>
        </w:rPr>
        <w:t>.</w:t>
      </w:r>
    </w:p>
    <w:p w14:paraId="3448949E" w14:textId="1FDD99D0" w:rsidR="00D906F5" w:rsidRPr="008977F5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</w:t>
      </w:r>
      <w:r w:rsidR="007E4B24">
        <w:rPr>
          <w:rFonts w:ascii="Arial" w:hAnsi="Arial" w:cs="Arial"/>
          <w:sz w:val="22"/>
          <w:szCs w:val="22"/>
        </w:rPr>
        <w:t>a institución en el Manual de Contratistas ESG-SST-M011</w:t>
      </w:r>
      <w:r w:rsidR="00DC7776">
        <w:rPr>
          <w:rFonts w:ascii="Arial" w:hAnsi="Arial" w:cs="Arial"/>
          <w:sz w:val="22"/>
          <w:szCs w:val="22"/>
        </w:rPr>
        <w:t>.</w:t>
      </w:r>
      <w:r w:rsidR="007E4B24">
        <w:rPr>
          <w:rFonts w:ascii="Arial" w:hAnsi="Arial" w:cs="Arial"/>
          <w:sz w:val="22"/>
          <w:szCs w:val="22"/>
        </w:rPr>
        <w:t xml:space="preserve">  (Ver documento)</w:t>
      </w:r>
      <w:r w:rsidR="00DC7776">
        <w:rPr>
          <w:rFonts w:ascii="Arial" w:hAnsi="Arial" w:cs="Arial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</w:t>
      </w:r>
      <w:proofErr w:type="spellStart"/>
      <w:r w:rsidRPr="008977F5">
        <w:rPr>
          <w:rFonts w:ascii="Arial" w:hAnsi="Arial" w:cs="Arial"/>
          <w:sz w:val="22"/>
          <w:szCs w:val="22"/>
        </w:rPr>
        <w:t>ii</w:t>
      </w:r>
      <w:proofErr w:type="spellEnd"/>
      <w:r w:rsidRPr="008977F5">
        <w:rPr>
          <w:rFonts w:ascii="Arial" w:hAnsi="Arial" w:cs="Arial"/>
          <w:sz w:val="22"/>
          <w:szCs w:val="22"/>
        </w:rPr>
        <w:t>) concurso de acreedores; (</w:t>
      </w:r>
      <w:proofErr w:type="spellStart"/>
      <w:r w:rsidRPr="008977F5">
        <w:rPr>
          <w:rFonts w:ascii="Arial" w:hAnsi="Arial" w:cs="Arial"/>
          <w:sz w:val="22"/>
          <w:szCs w:val="22"/>
        </w:rPr>
        <w:t>iii</w:t>
      </w:r>
      <w:proofErr w:type="spellEnd"/>
      <w:r w:rsidRPr="008977F5">
        <w:rPr>
          <w:rFonts w:ascii="Arial" w:hAnsi="Arial" w:cs="Arial"/>
          <w:sz w:val="22"/>
          <w:szCs w:val="22"/>
        </w:rPr>
        <w:t>) en disolución o en liquidación.</w:t>
      </w:r>
    </w:p>
    <w:p w14:paraId="5B00E224" w14:textId="363B563D" w:rsidR="00B52AE2" w:rsidRPr="008977F5" w:rsidRDefault="00AE0783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>, no será posible oponer o alegar reserva alguna. Sin perjuicio de lo anterior, aclaro que los folios [enunciar expresamente el folio o folios de la propuesta que contengan información reservada o confidencial. En ningún caso la Universidad admitirá invocar una reserva o confidencialidad de la totalidad de la propuesta] de nuestra Propuesta Comercial tienen carácter confidencial y/o reservado con base en las siguientes disposiciones 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8977F5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lastRenderedPageBreak/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F8DA50" w14:textId="77777777" w:rsidR="0049737B" w:rsidRDefault="0049737B" w:rsidP="001343DB">
      <w:r>
        <w:separator/>
      </w:r>
    </w:p>
  </w:endnote>
  <w:endnote w:type="continuationSeparator" w:id="0">
    <w:p w14:paraId="1592FD78" w14:textId="77777777" w:rsidR="0049737B" w:rsidRDefault="0049737B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29B248" w14:textId="77777777" w:rsidR="0049737B" w:rsidRDefault="0049737B" w:rsidP="001343DB">
      <w:r>
        <w:separator/>
      </w:r>
    </w:p>
  </w:footnote>
  <w:footnote w:type="continuationSeparator" w:id="0">
    <w:p w14:paraId="6957C560" w14:textId="77777777" w:rsidR="0049737B" w:rsidRDefault="0049737B" w:rsidP="001343DB">
      <w:r>
        <w:continuationSeparator/>
      </w:r>
    </w:p>
  </w:footnote>
  <w:footnote w:type="continuationNotice" w:id="1">
    <w:p w14:paraId="7E32A16C" w14:textId="77777777" w:rsidR="0049737B" w:rsidRDefault="0049737B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A85661"/>
    <w:multiLevelType w:val="hybridMultilevel"/>
    <w:tmpl w:val="4D0AD22E"/>
    <w:numStyleLink w:val="Estiloimportado10"/>
  </w:abstractNum>
  <w:abstractNum w:abstractNumId="23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6"/>
  </w:num>
  <w:num w:numId="3">
    <w:abstractNumId w:val="3"/>
  </w:num>
  <w:num w:numId="4">
    <w:abstractNumId w:val="32"/>
  </w:num>
  <w:num w:numId="5">
    <w:abstractNumId w:val="39"/>
  </w:num>
  <w:num w:numId="6">
    <w:abstractNumId w:val="31"/>
  </w:num>
  <w:num w:numId="7">
    <w:abstractNumId w:val="6"/>
  </w:num>
  <w:num w:numId="8">
    <w:abstractNumId w:val="2"/>
  </w:num>
  <w:num w:numId="9">
    <w:abstractNumId w:val="28"/>
  </w:num>
  <w:num w:numId="10">
    <w:abstractNumId w:val="33"/>
  </w:num>
  <w:num w:numId="11">
    <w:abstractNumId w:val="24"/>
  </w:num>
  <w:num w:numId="12">
    <w:abstractNumId w:val="1"/>
  </w:num>
  <w:num w:numId="13">
    <w:abstractNumId w:val="35"/>
  </w:num>
  <w:num w:numId="14">
    <w:abstractNumId w:val="9"/>
  </w:num>
  <w:num w:numId="15">
    <w:abstractNumId w:val="23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7"/>
  </w:num>
  <w:num w:numId="21">
    <w:abstractNumId w:val="10"/>
  </w:num>
  <w:num w:numId="22">
    <w:abstractNumId w:val="19"/>
  </w:num>
  <w:num w:numId="23">
    <w:abstractNumId w:val="0"/>
  </w:num>
  <w:num w:numId="24">
    <w:abstractNumId w:val="22"/>
    <w:lvlOverride w:ilvl="0">
      <w:lvl w:ilvl="0" w:tplc="1B5CD832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5"/>
  </w:num>
  <w:num w:numId="29">
    <w:abstractNumId w:val="34"/>
  </w:num>
  <w:num w:numId="30">
    <w:abstractNumId w:val="36"/>
  </w:num>
  <w:num w:numId="31">
    <w:abstractNumId w:val="21"/>
  </w:num>
  <w:num w:numId="32">
    <w:abstractNumId w:val="15"/>
  </w:num>
  <w:num w:numId="33">
    <w:abstractNumId w:val="8"/>
  </w:num>
  <w:num w:numId="34">
    <w:abstractNumId w:val="30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12"/>
  </w:num>
  <w:num w:numId="38">
    <w:abstractNumId w:val="18"/>
  </w:num>
  <w:num w:numId="39">
    <w:abstractNumId w:val="7"/>
  </w:num>
  <w:num w:numId="40">
    <w:abstractNumId w:val="37"/>
  </w:num>
  <w:num w:numId="41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A40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3949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B01F64-B904-4EAA-8872-DF8299E71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967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XIMENA ANDREA CUARTAS MESA</cp:lastModifiedBy>
  <cp:revision>10</cp:revision>
  <cp:lastPrinted>2020-06-14T00:10:00Z</cp:lastPrinted>
  <dcterms:created xsi:type="dcterms:W3CDTF">2021-10-20T20:12:00Z</dcterms:created>
  <dcterms:modified xsi:type="dcterms:W3CDTF">2022-07-06T22:36:00Z</dcterms:modified>
</cp:coreProperties>
</file>