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Fusagasugá, 25-02-2019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Señores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PROVEEDORES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Cordial saludo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Universidad  de Cundinamarca Sede Fusagasugá, presenta la necesidad de  </w:t>
      </w:r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“</w:t>
      </w:r>
      <w:bookmarkStart w:id="0" w:name="x_x_x_x_x__Hlk528691425"/>
      <w:r w:rsidRPr="00E817AD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bookmarkEnd w:id="0"/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”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por lo cual, solicita la Cotización que adjunta a este e-mail.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 remitirse a la OFICINA DE COMPRAS a nombre de la Dra. Jenny Alexandra Peñaloza Martínez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(Jefe de Compras), dentro de las fechas y horarios establecidos, incluyendo la totalidad de los ítems solicitados, en papel membretado de su organización, adjuntando copia del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RUT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vigente, los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Anexos 01, 02, 03 y 04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la autorización de datos personales, debidamente diligenciados y suscritos. Tenga presente que las especificaciones y características que se solicitan deben ser las mismas y los elementos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y/o servicios cotizados deben mantener el mismo orden en la numeración de la solicitud de cotización, sin sufrir alteraciones en su orden.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deberá enviarse al correo electrónico institucional de compras  (</w:t>
      </w:r>
      <w:hyperlink r:id="rId7" w:tgtFrame="_blank" w:history="1">
        <w:r w:rsidRPr="00E817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CO"/>
          </w:rPr>
          <w:t>COMPRASUDEC@ucundinamarca.edu.co</w:t>
        </w:r>
      </w:hyperlink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), en caso de remitirse a un correo diferente, no será considerada dentro del proceso que se adelanta.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Solo se aceptarán las propuestas de proveedores que coticen la totalidad de los </w:t>
      </w:r>
      <w:proofErr w:type="spellStart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elementosy</w:t>
      </w:r>
      <w:proofErr w:type="spellEnd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/o servicios solicitados y cumplan con las especificaciones técnicas y económicas requeridas; no se aceptan cotizaciones parciales; en caso de</w:t>
      </w:r>
      <w:r w:rsidRPr="00E817AD">
        <w:rPr>
          <w:rFonts w:ascii="Arial" w:eastAsia="Times New Roman" w:hAnsi="Arial" w:cs="Arial"/>
          <w:color w:val="000000"/>
          <w:sz w:val="24"/>
          <w:szCs w:val="24"/>
          <w:shd w:val="clear" w:color="auto" w:fill="FFEE9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 descontinuados o frente a especificaciones técnicas que no correspondan al mercado, se agradece informar de esta situación mediante correo electrónico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CO"/>
        </w:rPr>
        <w:t>antes de la fecha de presentación de cotizaciones.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Tenga en cuenta que los criterios establecidos para la evaluación de las propuestas corresponden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al cumplimiento de las especificaciones técnicas y a la oferta más favorable para la entidad</w:t>
      </w:r>
      <w:r w:rsidRPr="00E81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.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</w:t>
      </w:r>
      <w:r>
        <w:rPr>
          <w:rFonts w:ascii="Calibri" w:eastAsia="Times New Roman" w:hAnsi="Calibri" w:cs="Times New Roman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lang w:eastAsia="es-CO"/>
        </w:rPr>
        <w:t>[1]</w:t>
      </w:r>
      <w:r w:rsidRPr="00E817AD">
        <w:rPr>
          <w:rFonts w:ascii="Calibri" w:eastAsia="Times New Roman" w:hAnsi="Calibri" w:cs="Times New Roman"/>
          <w:lang w:eastAsia="es-CO"/>
        </w:rPr>
        <w:t> se realizará de la siguiente manera: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 </w:t>
      </w:r>
      <w:r>
        <w:rPr>
          <w:rFonts w:ascii="Calibri" w:eastAsia="Times New Roman" w:hAnsi="Calibri" w:cs="Times New Roman"/>
          <w:lang w:eastAsia="es-CO"/>
        </w:rPr>
        <w:t xml:space="preserve"> 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lastRenderedPageBreak/>
        <w:t>La propuesta económica deberá ser presentada bajo los requisitos contemplados en la solicitud 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decotización</w:t>
      </w:r>
      <w:proofErr w:type="spellEnd"/>
      <w:r w:rsidRPr="00E817AD">
        <w:rPr>
          <w:rFonts w:ascii="Calibri" w:eastAsia="Times New Roman" w:hAnsi="Calibri" w:cs="Times New Roman"/>
          <w:lang w:val="es-ES" w:eastAsia="es-CO"/>
        </w:rPr>
        <w:t>, la cual debe ser diligenciada de </w:t>
      </w:r>
      <w:r w:rsidRPr="00E817AD">
        <w:rPr>
          <w:rFonts w:ascii="Calibri" w:eastAsia="Times New Roman" w:hAnsi="Calibri" w:cs="Times New Roman"/>
          <w:lang w:eastAsia="es-CO"/>
        </w:rPr>
        <w:t>manera clara y en forma completa (sin obviar ningún ítem o consideración técnica).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 se realizará sobre el valor de la oferta antes de I.V.A. – (Impuesto de Valor Agregado), si a ello hay lugar.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presentaciónde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su oferta.  Debe tenerse en cuenta que la Universidad de Cundinamarca realiza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descuentos por los demás impuestos y estampillas aplicables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ladeterminación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del puntaje, así como para la selección del contratista y la suscripción del contrato.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Si al hacer la corrección aritmética esta supera el presupuesto oficial, la propuesta será </w:t>
      </w:r>
      <w:r w:rsidRPr="00E817AD">
        <w:rPr>
          <w:rFonts w:ascii="Calibri" w:eastAsia="Times New Roman" w:hAnsi="Calibri" w:cs="Times New Roman"/>
          <w:b/>
          <w:bCs/>
          <w:u w:val="single"/>
          <w:lang w:eastAsia="es-CO"/>
        </w:rPr>
        <w:t>RECHAZADA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Presupuesto oficial: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E817AD" w:rsidRPr="00E817AD" w:rsidTr="00E817AD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$40.000.000</w:t>
            </w:r>
          </w:p>
        </w:tc>
      </w:tr>
    </w:tbl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tiene alguna duda o cualquier inquietud favor comunicarse a los teléfonos: (1) 8281483, extensión 130,134.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SE SOLICITA QUE LA COTIZACIÓN SEA ENVIADA TAMBIÉN </w:t>
      </w:r>
      <w:r w:rsidRPr="00E817A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CO"/>
        </w:rPr>
        <w:t>EN ARCHIVO EXCEL</w:t>
      </w: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 CON LOS DATOS CORRESPONDIENTES, CON EL FIN DE VERIFICAR LOS VALORES ARITMÉTICOS.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Adicionalmente se solicita la siguiente documentación que debe ser allegada junto con la cotización, la cual podrá ser enviada por este medio electrónico, al correo comprasudec@ucundinamarca.edu.co  </w:t>
      </w:r>
      <w:proofErr w:type="spellStart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ó</w:t>
      </w:r>
      <w:proofErr w:type="spellEnd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 a éste mismo.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divId w:val="19632224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t>Certificado de existencia y representación legal vigente,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expedido por la Cámara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deComercio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respectiva, en el cual certifique que el objeto social es afín al requerimiento de la presente invitación; que la sociedad está registrada y tiene sucursal en 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Colombia</w:t>
            </w:r>
            <w:proofErr w:type="gram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;demostrar</w:t>
            </w:r>
            <w:proofErr w:type="spellEnd"/>
            <w:proofErr w:type="gram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lastRenderedPageBreak/>
              <w:t>Paz y salvo de aportes parafiscales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 (personas jurídicas con carácter de empresa), 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certificación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Revisor Fiscal o Contador Público si lo tiene o del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 xml:space="preserve">Representante legal para personas </w:t>
            </w:r>
            <w:proofErr w:type="spellStart"/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jurídica.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Conforme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 xml:space="preserve">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Disciplinarios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judiciales,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del Representante legal con fecha de expedición no anterior a treinta (30) días calendario. 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Registro Único Tributario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RUT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. (La actividad Comercial debe estar actualizada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ycorresponder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 xml:space="preserve"> al Objeto a contratar).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Fotocopia de la Cédula de Ciudadanía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Representante Legal.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cumplimiento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 las obligaciones con el Sistema Integral de Seguridad Social en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Salud y pensión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encontrarse a paz y salvo durante los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seis (6) meses anteriores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  <w:r w:rsidRPr="00E817A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Centro de Diagnóstico debe estar habilitado mediante resolución expedida por el Ministerio de Transporte como Centro de Diagnóstico Automotor, con línea de inspección para vehículos livianos y línea de inspección para motocicletas, y estar acreditado ante el Organismos Nacional de Acreditación ONAC. (Anexar las respectivas resoluciones). </w:t>
            </w:r>
            <w:r w:rsidRPr="00E8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Documento que certifique que está habilitado.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El proveedor del servicio debe contar con un Centro de Diagnóstico automotor, dentro del perímetro urbano de Fusagasugá, donde el proponente deberá indicar la descripción detallada del taller (distribución de áreas y localización del mismo), </w:t>
            </w:r>
            <w:r w:rsidRPr="00E817A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para lo cual deberá anexar cinco (5) fotografías que demuestren dicho requisito</w:t>
            </w:r>
            <w:r w:rsidRPr="00E817A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, e indicar la dirección </w:t>
            </w:r>
            <w:proofErr w:type="spellStart"/>
            <w:r w:rsidRPr="00E817A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yubicación</w:t>
            </w:r>
            <w:proofErr w:type="spellEnd"/>
            <w:r w:rsidRPr="00E817A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del establecimiento</w:t>
            </w:r>
          </w:p>
        </w:tc>
      </w:tr>
    </w:tbl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De otra parte, con el fin de garantizar con éxito la labor como contratista, se adjunta para su correspondiente lectura y aplicación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el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Manual para Contratistas, Subcontratistas y Proveedores.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pict>
          <v:rect id="_x0000_i1025" style="width:172.45pt;height:.75pt" o:hrpct="0" o:hrstd="t" o:hr="t" fillcolor="#a0a0a0" stroked="f"/>
        </w:pic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Times New Roman" w:eastAsia="Times New Roman" w:hAnsi="Times New Roman" w:cs="Times New Roman"/>
          <w:color w:val="000000"/>
          <w:sz w:val="20"/>
          <w:szCs w:val="20"/>
          <w:lang w:eastAsia="es-CO"/>
        </w:rPr>
        <w:t>[1]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Conforme al Artículo 4 de la Resolución Rectoral 170 de 2017 “Por medio de la cual se modifica </w:t>
      </w:r>
      <w:proofErr w:type="spellStart"/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yajusta</w:t>
      </w:r>
      <w:proofErr w:type="spellEnd"/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la Resolución 206 del 27 de noviembre de 2012 “Por el cual se expide el Manual de contratación de la Universidad de Cundinamarca”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Cordialmente</w:t>
      </w:r>
    </w:p>
    <w:p w:rsidR="00C75A16" w:rsidRDefault="00C75A16"/>
    <w:p w:rsidR="00E817AD" w:rsidRDefault="00E817AD"/>
    <w:p w:rsidR="00E817AD" w:rsidRDefault="00E817AD">
      <w:bookmarkStart w:id="1" w:name="_GoBack"/>
      <w:bookmarkEnd w:id="1"/>
    </w:p>
    <w:p w:rsidR="00E817AD" w:rsidRDefault="00E817AD" w:rsidP="00E817AD">
      <w:pPr>
        <w:jc w:val="both"/>
        <w:rPr>
          <w:rFonts w:ascii="Arial" w:hAnsi="Arial" w:cs="Arial"/>
          <w:szCs w:val="24"/>
        </w:rPr>
      </w:pPr>
      <w:r w:rsidRPr="009A1A8C">
        <w:rPr>
          <w:rFonts w:ascii="Arial" w:hAnsi="Arial" w:cs="Arial"/>
          <w:szCs w:val="24"/>
        </w:rPr>
        <w:t>Sin otro particular,</w:t>
      </w:r>
    </w:p>
    <w:p w:rsidR="00E817AD" w:rsidRDefault="00E817AD" w:rsidP="00E817AD">
      <w:pPr>
        <w:jc w:val="both"/>
        <w:rPr>
          <w:rFonts w:ascii="Arial" w:hAnsi="Arial" w:cs="Arial"/>
          <w:b/>
          <w:szCs w:val="24"/>
        </w:rPr>
      </w:pPr>
    </w:p>
    <w:p w:rsidR="00E817AD" w:rsidRPr="009A1A8C" w:rsidRDefault="00E817AD" w:rsidP="00E817A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Universidad de Cundinamarca</w:t>
      </w:r>
    </w:p>
    <w:p w:rsidR="00E817AD" w:rsidRDefault="00E817AD" w:rsidP="00E817A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Oficina de Compras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Jung </w:t>
      </w:r>
      <w:proofErr w:type="spellStart"/>
      <w:r>
        <w:rPr>
          <w:rFonts w:ascii="Arial" w:hAnsi="Arial" w:cs="Arial"/>
          <w:sz w:val="16"/>
        </w:rPr>
        <w:t>Suh</w:t>
      </w:r>
      <w:proofErr w:type="spellEnd"/>
      <w:r>
        <w:rPr>
          <w:rFonts w:ascii="Arial" w:hAnsi="Arial" w:cs="Arial"/>
          <w:sz w:val="16"/>
        </w:rPr>
        <w:t xml:space="preserve"> Melo Prieto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Oficina de Compras</w:t>
      </w:r>
    </w:p>
    <w:p w:rsidR="00E817AD" w:rsidRPr="00871F24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E817AD" w:rsidRPr="00871F2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AD" w:rsidRDefault="00E817AD" w:rsidP="00E817AD">
      <w:pPr>
        <w:spacing w:after="0" w:line="240" w:lineRule="auto"/>
      </w:pPr>
      <w:r>
        <w:separator/>
      </w:r>
    </w:p>
  </w:endnote>
  <w:end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Diagonal 18 No. 20-29 Fusagasugá – Cundinamarca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Teléfono (091) 8281483  Línea Gratuita 018000180414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 xml:space="preserve">www.ucundinamarca.edu.co  E-mail: </w:t>
    </w:r>
    <w:hyperlink r:id="rId1" w:history="1">
      <w:r w:rsidRPr="00E817AD">
        <w:rPr>
          <w:rFonts w:ascii="Arial" w:eastAsia="Arial Unicode MS" w:hAnsi="Arial" w:cs="Arial"/>
          <w:sz w:val="16"/>
          <w:szCs w:val="16"/>
          <w:u w:val="single"/>
          <w:bdr w:val="nil"/>
        </w:rPr>
        <w:t>info@ucundinamarca.edu.co</w:t>
      </w:r>
    </w:hyperlink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  <w:lang w:val="es-ES_tradnl"/>
      </w:rPr>
      <w:t>NIT: 890.680.062-2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center"/>
      <w:rPr>
        <w:rFonts w:ascii="Arial" w:eastAsia="Arial Unicode MS" w:hAnsi="Arial" w:cs="Arial"/>
        <w:iCs/>
        <w:color w:val="4B514E"/>
        <w:sz w:val="16"/>
        <w:szCs w:val="16"/>
        <w:bdr w:val="nil"/>
      </w:rPr>
    </w:pP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right"/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  <w:t>Documento controlado por el Sistema de Gestión de la Calidad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  <w:ind w:left="709"/>
      <w:jc w:val="right"/>
      <w:rPr>
        <w:rFonts w:ascii="Arial" w:eastAsia="Arial Unicode MS" w:hAnsi="Arial" w:cs="Arial"/>
        <w:color w:val="4B514E"/>
        <w:sz w:val="16"/>
        <w:szCs w:val="16"/>
        <w:u w:color="000000"/>
        <w:bdr w:val="nil"/>
        <w:lang w:val="es-ES_tradnl" w:eastAsia="es-CO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u w:color="000000"/>
        <w:bdr w:val="nil"/>
        <w:lang w:val="es-ES_tradnl" w:eastAsia="es-CO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AD" w:rsidRDefault="00E817AD" w:rsidP="00E817AD">
      <w:pPr>
        <w:spacing w:after="0" w:line="240" w:lineRule="auto"/>
      </w:pPr>
      <w:r>
        <w:separator/>
      </w:r>
    </w:p>
  </w:footnote>
  <w:foot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Default="00E817A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-381000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BF6"/>
    <w:multiLevelType w:val="multilevel"/>
    <w:tmpl w:val="392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AD"/>
    <w:rsid w:val="00C75A16"/>
    <w:rsid w:val="00E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3E383673-F994-4886-AC82-33FA2DD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xhighlight">
    <w:name w:val="x_x_highlight"/>
    <w:basedOn w:val="Fuentedeprrafopredeter"/>
    <w:rsid w:val="00E817AD"/>
  </w:style>
  <w:style w:type="character" w:styleId="Hipervnculo">
    <w:name w:val="Hyperlink"/>
    <w:basedOn w:val="Fuentedeprrafopredeter"/>
    <w:uiPriority w:val="99"/>
    <w:semiHidden/>
    <w:unhideWhenUsed/>
    <w:rsid w:val="00E817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7AD"/>
  </w:style>
  <w:style w:type="paragraph" w:styleId="Piedepgina">
    <w:name w:val="footer"/>
    <w:basedOn w:val="Normal"/>
    <w:link w:val="Piedepgina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SUH JOHANA MELO  PRIETO</dc:creator>
  <cp:keywords/>
  <dc:description/>
  <cp:lastModifiedBy>JUNG SUH JOHANA MELO  PRIETO</cp:lastModifiedBy>
  <cp:revision>1</cp:revision>
  <dcterms:created xsi:type="dcterms:W3CDTF">2019-02-25T15:37:00Z</dcterms:created>
  <dcterms:modified xsi:type="dcterms:W3CDTF">2019-02-25T15:40:00Z</dcterms:modified>
</cp:coreProperties>
</file>