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3420AA"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A56715" w:rsidRDefault="00BA6693" w:rsidP="004A758B">
            <w:pPr>
              <w:jc w:val="both"/>
              <w:rPr>
                <w:rFonts w:ascii="Arial" w:hAnsi="Arial" w:cs="Arial"/>
                <w:b/>
                <w:sz w:val="22"/>
                <w:szCs w:val="22"/>
                <w:lang w:val="es-CO"/>
              </w:rPr>
            </w:pPr>
            <w:r w:rsidRPr="00A56715">
              <w:rPr>
                <w:rFonts w:ascii="Arial" w:hAnsi="Arial" w:cs="Arial"/>
                <w:b/>
                <w:sz w:val="22"/>
                <w:szCs w:val="22"/>
                <w:lang w:val="es-CO"/>
              </w:rPr>
              <w:t>Fecha:</w:t>
            </w:r>
            <w:r w:rsidR="00923C53">
              <w:rPr>
                <w:rFonts w:ascii="Arial" w:hAnsi="Arial" w:cs="Arial"/>
                <w:b/>
                <w:sz w:val="22"/>
                <w:szCs w:val="22"/>
                <w:lang w:val="es-CO"/>
              </w:rPr>
              <w:t xml:space="preserve"> 2019-04-02</w:t>
            </w:r>
          </w:p>
        </w:tc>
        <w:tc>
          <w:tcPr>
            <w:tcW w:w="4131" w:type="dxa"/>
          </w:tcPr>
          <w:p w:rsidR="00BA6693" w:rsidRPr="007452FA" w:rsidRDefault="00BA6693" w:rsidP="00923C53">
            <w:pPr>
              <w:jc w:val="both"/>
              <w:rPr>
                <w:rFonts w:ascii="Arial" w:hAnsi="Arial" w:cs="Arial"/>
                <w:b/>
                <w:sz w:val="22"/>
                <w:szCs w:val="22"/>
                <w:lang w:val="es-CO"/>
              </w:rPr>
            </w:pPr>
            <w:r w:rsidRPr="00A56715">
              <w:rPr>
                <w:rFonts w:ascii="Arial" w:hAnsi="Arial" w:cs="Arial"/>
                <w:b/>
                <w:sz w:val="22"/>
                <w:szCs w:val="22"/>
                <w:lang w:val="es-CO"/>
              </w:rPr>
              <w:t>Hora:</w:t>
            </w:r>
            <w:r w:rsidR="00C334D9" w:rsidRPr="00A56715">
              <w:rPr>
                <w:rFonts w:ascii="Arial" w:hAnsi="Arial" w:cs="Arial"/>
                <w:b/>
                <w:sz w:val="22"/>
                <w:szCs w:val="22"/>
                <w:lang w:val="es-CO"/>
              </w:rPr>
              <w:t xml:space="preserve"> </w:t>
            </w:r>
            <w:r w:rsidR="00923C53">
              <w:rPr>
                <w:rFonts w:ascii="Arial" w:hAnsi="Arial" w:cs="Arial"/>
                <w:b/>
                <w:sz w:val="22"/>
                <w:szCs w:val="22"/>
                <w:lang w:val="es-CO"/>
              </w:rPr>
              <w:t>4</w:t>
            </w:r>
            <w:r w:rsidR="00C334D9" w:rsidRPr="00A56715">
              <w:rPr>
                <w:rFonts w:ascii="Arial" w:hAnsi="Arial" w:cs="Arial"/>
                <w:b/>
                <w:sz w:val="22"/>
                <w:szCs w:val="22"/>
                <w:lang w:val="es-CO"/>
              </w:rPr>
              <w:t xml:space="preserve">:00 </w:t>
            </w:r>
            <w:r w:rsidR="00923C53">
              <w:rPr>
                <w:rFonts w:ascii="Arial" w:hAnsi="Arial" w:cs="Arial"/>
                <w:b/>
                <w:sz w:val="22"/>
                <w:szCs w:val="22"/>
                <w:lang w:val="es-CO"/>
              </w:rPr>
              <w:t>p</w:t>
            </w:r>
            <w:r w:rsidR="00C334D9" w:rsidRPr="00A56715">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980A69" w:rsidP="004A758B">
            <w:pPr>
              <w:tabs>
                <w:tab w:val="left" w:pos="5640"/>
              </w:tabs>
              <w:rPr>
                <w:rFonts w:ascii="Arial" w:hAnsi="Arial" w:cs="Arial"/>
                <w:sz w:val="24"/>
                <w:szCs w:val="22"/>
                <w:lang w:val="es-CO"/>
              </w:rPr>
            </w:pPr>
            <w:r w:rsidRPr="00980A69">
              <w:rPr>
                <w:rFonts w:ascii="Arial" w:hAnsi="Arial" w:cs="Arial"/>
                <w:sz w:val="22"/>
                <w:szCs w:val="18"/>
                <w:lang w:val="es-US" w:eastAsia="es-US"/>
              </w:rPr>
              <w:t>MANTENIMIENTO, REPARACIONES Y ADECUACIONES LOCATIVAS (INCLUYE MATERIALES Y MANO DE OBRA) EN LA PLANTA FÍSICA DE LA UNIVERSIDAD DE</w:t>
            </w:r>
            <w:r>
              <w:rPr>
                <w:rFonts w:ascii="Arial" w:hAnsi="Arial" w:cs="Arial"/>
                <w:sz w:val="22"/>
                <w:szCs w:val="18"/>
                <w:lang w:val="es-US" w:eastAsia="es-US"/>
              </w:rPr>
              <w:t xml:space="preserve"> CUNDINAMARCA SECCIONAL UBATÉ.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7F4465" w:rsidP="004A758B">
            <w:pPr>
              <w:pStyle w:val="Prrafodelista"/>
              <w:ind w:left="0"/>
              <w:jc w:val="both"/>
              <w:rPr>
                <w:rFonts w:ascii="Arial" w:hAnsi="Arial" w:cs="Arial"/>
                <w:sz w:val="22"/>
                <w:szCs w:val="22"/>
                <w:lang w:val="es-CO"/>
              </w:rPr>
            </w:pPr>
            <w:r>
              <w:rPr>
                <w:rFonts w:ascii="Arial" w:hAnsi="Arial" w:cs="Arial"/>
                <w:sz w:val="22"/>
                <w:szCs w:val="22"/>
                <w:lang w:val="es-CO"/>
              </w:rPr>
              <w:t>NUEVE MILLONES QUINIENTOS MIL</w:t>
            </w:r>
            <w:r w:rsidR="003420AA">
              <w:rPr>
                <w:rFonts w:ascii="Arial" w:hAnsi="Arial" w:cs="Arial"/>
                <w:sz w:val="22"/>
                <w:szCs w:val="22"/>
                <w:lang w:val="es-CO"/>
              </w:rPr>
              <w:t xml:space="preserve"> PESOS </w:t>
            </w:r>
            <w:r w:rsidR="00980A69">
              <w:rPr>
                <w:rFonts w:ascii="Arial" w:hAnsi="Arial" w:cs="Arial"/>
                <w:b/>
                <w:sz w:val="22"/>
                <w:szCs w:val="22"/>
                <w:lang w:val="es-CO"/>
              </w:rPr>
              <w:t>$ 9</w:t>
            </w:r>
            <w:r w:rsidR="003420AA" w:rsidRPr="003420AA">
              <w:rPr>
                <w:rFonts w:ascii="Arial" w:hAnsi="Arial" w:cs="Arial"/>
                <w:b/>
                <w:sz w:val="22"/>
                <w:szCs w:val="22"/>
                <w:lang w:val="es-CO"/>
              </w:rPr>
              <w:t>.</w:t>
            </w:r>
            <w:r w:rsidR="00980A69">
              <w:rPr>
                <w:rFonts w:ascii="Arial" w:hAnsi="Arial" w:cs="Arial"/>
                <w:b/>
                <w:sz w:val="22"/>
                <w:szCs w:val="22"/>
                <w:lang w:val="es-CO"/>
              </w:rPr>
              <w:t>5</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7F4465">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4561"/>
              <w:gridCol w:w="1436"/>
              <w:gridCol w:w="1992"/>
            </w:tblGrid>
            <w:tr w:rsidR="007F4465" w:rsidRPr="004F74B3" w:rsidTr="00087763">
              <w:trPr>
                <w:trHeight w:val="300"/>
              </w:trPr>
              <w:tc>
                <w:tcPr>
                  <w:tcW w:w="2854"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7F4465" w:rsidRPr="004F74B3" w:rsidRDefault="007F4465" w:rsidP="007F4465">
                  <w:pPr>
                    <w:jc w:val="center"/>
                    <w:rPr>
                      <w:rFonts w:ascii="Arial" w:hAnsi="Arial" w:cs="Arial"/>
                      <w:b/>
                      <w:bCs/>
                      <w:color w:val="FFFFFF"/>
                      <w:sz w:val="22"/>
                      <w:szCs w:val="22"/>
                      <w:lang w:val="es-CO" w:eastAsia="es-CO"/>
                    </w:rPr>
                  </w:pPr>
                  <w:r w:rsidRPr="004F74B3">
                    <w:rPr>
                      <w:rFonts w:ascii="Arial" w:hAnsi="Arial" w:cs="Arial"/>
                      <w:b/>
                      <w:bCs/>
                      <w:color w:val="FFFFFF"/>
                      <w:sz w:val="22"/>
                      <w:szCs w:val="22"/>
                      <w:lang w:val="es-CO" w:eastAsia="es-CO"/>
                    </w:rPr>
                    <w:t>DESCRIPCIÓN</w:t>
                  </w:r>
                </w:p>
              </w:tc>
              <w:tc>
                <w:tcPr>
                  <w:tcW w:w="899" w:type="pct"/>
                  <w:tcBorders>
                    <w:top w:val="single" w:sz="4" w:space="0" w:color="000000"/>
                    <w:left w:val="nil"/>
                    <w:bottom w:val="single" w:sz="4" w:space="0" w:color="000000"/>
                    <w:right w:val="single" w:sz="4" w:space="0" w:color="000000"/>
                  </w:tcBorders>
                  <w:shd w:val="clear" w:color="000000" w:fill="004846"/>
                  <w:vAlign w:val="center"/>
                  <w:hideMark/>
                </w:tcPr>
                <w:p w:rsidR="007F4465" w:rsidRPr="004F74B3" w:rsidRDefault="007F4465" w:rsidP="007F4465">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1247" w:type="pct"/>
                  <w:tcBorders>
                    <w:top w:val="single" w:sz="4" w:space="0" w:color="000000"/>
                    <w:left w:val="nil"/>
                    <w:bottom w:val="single" w:sz="4" w:space="0" w:color="000000"/>
                    <w:right w:val="single" w:sz="4" w:space="0" w:color="000000"/>
                  </w:tcBorders>
                  <w:shd w:val="clear" w:color="000000" w:fill="004846"/>
                  <w:vAlign w:val="center"/>
                  <w:hideMark/>
                </w:tcPr>
                <w:p w:rsidR="007F4465" w:rsidRPr="004F74B3" w:rsidRDefault="007F4465" w:rsidP="007F4465">
                  <w:pPr>
                    <w:jc w:val="center"/>
                    <w:rPr>
                      <w:rFonts w:ascii="Arial" w:hAnsi="Arial" w:cs="Arial"/>
                      <w:b/>
                      <w:bCs/>
                      <w:color w:val="FFFFFF"/>
                      <w:sz w:val="22"/>
                      <w:szCs w:val="22"/>
                      <w:lang w:val="es-CO" w:eastAsia="es-CO"/>
                    </w:rPr>
                  </w:pPr>
                  <w:r w:rsidRPr="004F74B3">
                    <w:rPr>
                      <w:rFonts w:ascii="Arial" w:hAnsi="Arial" w:cs="Arial"/>
                      <w:b/>
                      <w:bCs/>
                      <w:color w:val="FFFFFF"/>
                      <w:sz w:val="22"/>
                      <w:szCs w:val="22"/>
                      <w:lang w:val="es-CO" w:eastAsia="es-CO"/>
                    </w:rPr>
                    <w:t>UNIDAD DE MEDIDA</w:t>
                  </w:r>
                </w:p>
              </w:tc>
            </w:tr>
            <w:tr w:rsidR="007F4465" w:rsidRPr="004F74B3" w:rsidTr="00087763">
              <w:trPr>
                <w:trHeight w:val="87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BLOQUEA,A-101BLIBLIOTECA Adecuación sala de audiovisuales (incl</w:t>
                  </w:r>
                  <w:bookmarkStart w:id="0" w:name="_GoBack"/>
                  <w:bookmarkEnd w:id="0"/>
                  <w:r w:rsidRPr="004F74B3">
                    <w:rPr>
                      <w:rFonts w:ascii="Arial" w:hAnsi="Arial" w:cs="Arial"/>
                      <w:color w:val="000000"/>
                      <w:sz w:val="22"/>
                      <w:szCs w:val="22"/>
                      <w:lang w:val="es-CO" w:eastAsia="es-CO"/>
                    </w:rPr>
                    <w:t>uye resanes pintura y otros)</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D</w:t>
                  </w:r>
                  <w:r w:rsidRPr="004F74B3">
                    <w:rPr>
                      <w:rFonts w:ascii="Arial" w:hAnsi="Arial" w:cs="Arial"/>
                      <w:color w:val="000000"/>
                      <w:sz w:val="22"/>
                      <w:szCs w:val="22"/>
                      <w:lang w:val="es-CO" w:eastAsia="es-CO"/>
                    </w:rPr>
                    <w:t>emolición muro en mampostería 0.25cm</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5,72</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Ventana lamina calibre 18 inc. anticorrosivo</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5,72</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V</w:t>
                  </w:r>
                  <w:r w:rsidRPr="004F74B3">
                    <w:rPr>
                      <w:rFonts w:ascii="Arial" w:hAnsi="Arial" w:cs="Arial"/>
                      <w:color w:val="000000"/>
                      <w:sz w:val="22"/>
                      <w:szCs w:val="22"/>
                      <w:lang w:val="es-CO" w:eastAsia="es-CO"/>
                    </w:rPr>
                    <w:t>idrios trasparentes 5mm</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5,42</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1155"/>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BLOQUE C-SECTOR SALA DE COMPUTO Suministro e instalación de bajantes de aguas lluvias (incluye accesorios, uniones, andamios y demás equipos necesarios).</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56</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LINEAL</w:t>
                  </w:r>
                </w:p>
              </w:tc>
            </w:tr>
            <w:tr w:rsidR="007F4465" w:rsidRPr="004F74B3" w:rsidTr="00087763">
              <w:trPr>
                <w:trHeight w:val="1725"/>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lastRenderedPageBreak/>
                    <w:t>BAÑOS BLOQUE A Y G (BAÑOS A1-2,BAÑOS A2-2,BAÑOS G1-1, BAÑOS G2-2) suministro e instalación duchas eléctricas (incluye desmonte de sanitaros, desmonte de enchape, suministro de registros, tubería 1/2  PVC, accesorios y enchape</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UNIDAD</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D</w:t>
                  </w:r>
                  <w:r w:rsidRPr="004F74B3">
                    <w:rPr>
                      <w:rFonts w:ascii="Arial" w:hAnsi="Arial" w:cs="Arial"/>
                      <w:color w:val="000000"/>
                      <w:sz w:val="22"/>
                      <w:szCs w:val="22"/>
                      <w:lang w:val="es-CO" w:eastAsia="es-CO"/>
                    </w:rPr>
                    <w:t>emolición de muro en mampostería 0.25 cm</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Ventana lamina calibre 18 inc. Anticorrosivo</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V</w:t>
                  </w:r>
                  <w:r w:rsidRPr="004F74B3">
                    <w:rPr>
                      <w:rFonts w:ascii="Arial" w:hAnsi="Arial" w:cs="Arial"/>
                      <w:color w:val="000000"/>
                      <w:sz w:val="22"/>
                      <w:szCs w:val="22"/>
                      <w:lang w:val="es-CO" w:eastAsia="es-CO"/>
                    </w:rPr>
                    <w:t>idrios  trasparentes 5mm</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87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PLAZOLETA CENTRAL reparación piso(incluye demolición e instalaciones de tableta gres)</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7</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87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BLOQUE F,F104(LABORATORIO DE CARNICOS) demolición de muro en mampostería 0.15 cm</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1,6</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P</w:t>
                  </w:r>
                  <w:r w:rsidRPr="004F74B3">
                    <w:rPr>
                      <w:rFonts w:ascii="Arial" w:hAnsi="Arial" w:cs="Arial"/>
                      <w:color w:val="000000"/>
                      <w:sz w:val="22"/>
                      <w:szCs w:val="22"/>
                      <w:lang w:val="es-CO" w:eastAsia="es-CO"/>
                    </w:rPr>
                    <w:t>uerta en l</w:t>
                  </w:r>
                  <w:r>
                    <w:rPr>
                      <w:rFonts w:ascii="Arial" w:hAnsi="Arial" w:cs="Arial"/>
                      <w:color w:val="000000"/>
                      <w:sz w:val="22"/>
                      <w:szCs w:val="22"/>
                      <w:lang w:val="es-CO" w:eastAsia="es-CO"/>
                    </w:rPr>
                    <w:t>á</w:t>
                  </w:r>
                  <w:r w:rsidRPr="004F74B3">
                    <w:rPr>
                      <w:rFonts w:ascii="Arial" w:hAnsi="Arial" w:cs="Arial"/>
                      <w:color w:val="000000"/>
                      <w:sz w:val="22"/>
                      <w:szCs w:val="22"/>
                      <w:lang w:val="es-CO" w:eastAsia="es-CO"/>
                    </w:rPr>
                    <w:t>mina calibre 18 inc. Anticorrosivo</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5,15</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METRO CUADRADO</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I</w:t>
                  </w:r>
                  <w:r w:rsidRPr="004F74B3">
                    <w:rPr>
                      <w:rFonts w:ascii="Arial" w:hAnsi="Arial" w:cs="Arial"/>
                      <w:color w:val="000000"/>
                      <w:sz w:val="22"/>
                      <w:szCs w:val="22"/>
                      <w:lang w:val="es-CO" w:eastAsia="es-CO"/>
                    </w:rPr>
                    <w:t>nstalación extractor</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UNIDAD</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M</w:t>
                  </w:r>
                  <w:r w:rsidRPr="004F74B3">
                    <w:rPr>
                      <w:rFonts w:ascii="Arial" w:hAnsi="Arial" w:cs="Arial"/>
                      <w:color w:val="000000"/>
                      <w:sz w:val="22"/>
                      <w:szCs w:val="22"/>
                      <w:lang w:val="es-CO" w:eastAsia="es-CO"/>
                    </w:rPr>
                    <w:t>esón en concreto incluye enchape</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UNIDAD</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C</w:t>
                  </w:r>
                  <w:r w:rsidRPr="004F74B3">
                    <w:rPr>
                      <w:rFonts w:ascii="Arial" w:hAnsi="Arial" w:cs="Arial"/>
                      <w:color w:val="000000"/>
                      <w:sz w:val="22"/>
                      <w:szCs w:val="22"/>
                      <w:lang w:val="es-CO" w:eastAsia="es-CO"/>
                    </w:rPr>
                    <w:t>onstrucción pediluvio</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UNIDAD</w:t>
                  </w:r>
                </w:p>
              </w:tc>
            </w:tr>
            <w:tr w:rsidR="007F4465" w:rsidRPr="004F74B3" w:rsidTr="00087763">
              <w:trPr>
                <w:trHeight w:val="585"/>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OTROS construcción rampla para acceso a cuarto de lavado área servicios generales</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r w:rsidR="007F4465" w:rsidRPr="004F74B3" w:rsidTr="00087763">
              <w:trPr>
                <w:trHeight w:val="585"/>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C</w:t>
                  </w:r>
                  <w:r w:rsidRPr="004F74B3">
                    <w:rPr>
                      <w:rFonts w:ascii="Arial" w:hAnsi="Arial" w:cs="Arial"/>
                      <w:color w:val="000000"/>
                      <w:sz w:val="22"/>
                      <w:szCs w:val="22"/>
                      <w:lang w:val="es-CO" w:eastAsia="es-CO"/>
                    </w:rPr>
                    <w:t>orrección gotera en membrana estructural de la plazoleta central</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Pr>
                      <w:rFonts w:ascii="Arial" w:hAnsi="Arial" w:cs="Arial"/>
                      <w:color w:val="000000"/>
                      <w:sz w:val="22"/>
                      <w:szCs w:val="22"/>
                      <w:lang w:val="es-CO" w:eastAsia="es-CO"/>
                    </w:rPr>
                    <w:t>R</w:t>
                  </w:r>
                  <w:r w:rsidRPr="004F74B3">
                    <w:rPr>
                      <w:rFonts w:ascii="Arial" w:hAnsi="Arial" w:cs="Arial"/>
                      <w:color w:val="000000"/>
                      <w:sz w:val="22"/>
                      <w:szCs w:val="22"/>
                      <w:lang w:val="es-CO" w:eastAsia="es-CO"/>
                    </w:rPr>
                    <w:t>etiro de escombros</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r w:rsidR="007F4465" w:rsidRPr="004F74B3" w:rsidTr="00087763">
              <w:trPr>
                <w:trHeight w:val="300"/>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Mantenimiento piso punto de encuentro</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r w:rsidR="007F4465" w:rsidRPr="004F74B3" w:rsidTr="00087763">
              <w:trPr>
                <w:trHeight w:val="585"/>
              </w:trPr>
              <w:tc>
                <w:tcPr>
                  <w:tcW w:w="2854" w:type="pct"/>
                  <w:tcBorders>
                    <w:top w:val="nil"/>
                    <w:left w:val="single" w:sz="4" w:space="0" w:color="000000"/>
                    <w:bottom w:val="single" w:sz="4" w:space="0" w:color="000000"/>
                    <w:right w:val="single" w:sz="4" w:space="0" w:color="000000"/>
                  </w:tcBorders>
                  <w:shd w:val="clear" w:color="auto" w:fill="auto"/>
                  <w:vAlign w:val="bottom"/>
                  <w:hideMark/>
                </w:tcPr>
                <w:p w:rsidR="007F4465" w:rsidRPr="004F74B3" w:rsidRDefault="007F4465" w:rsidP="007F4465">
                  <w:pPr>
                    <w:rPr>
                      <w:rFonts w:ascii="Arial" w:hAnsi="Arial" w:cs="Arial"/>
                      <w:color w:val="000000"/>
                      <w:sz w:val="22"/>
                      <w:szCs w:val="22"/>
                      <w:lang w:val="es-CO" w:eastAsia="es-CO"/>
                    </w:rPr>
                  </w:pPr>
                  <w:r w:rsidRPr="004F74B3">
                    <w:rPr>
                      <w:rFonts w:ascii="Arial" w:hAnsi="Arial" w:cs="Arial"/>
                      <w:color w:val="000000"/>
                      <w:sz w:val="22"/>
                      <w:szCs w:val="22"/>
                      <w:lang w:val="es-CO" w:eastAsia="es-CO"/>
                    </w:rPr>
                    <w:t>Adecuación ventana oficina Recursos Físicos frente a entrada vehicular de la Seccional</w:t>
                  </w:r>
                </w:p>
              </w:tc>
              <w:tc>
                <w:tcPr>
                  <w:tcW w:w="899"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7F4465" w:rsidRPr="004F74B3" w:rsidRDefault="007F4465" w:rsidP="007F4465">
                  <w:pPr>
                    <w:jc w:val="center"/>
                    <w:rPr>
                      <w:rFonts w:ascii="Arial" w:hAnsi="Arial" w:cs="Arial"/>
                      <w:color w:val="000000"/>
                      <w:sz w:val="22"/>
                      <w:szCs w:val="22"/>
                      <w:lang w:val="es-CO" w:eastAsia="es-CO"/>
                    </w:rPr>
                  </w:pPr>
                  <w:r w:rsidRPr="004F74B3">
                    <w:rPr>
                      <w:rFonts w:ascii="Arial" w:hAnsi="Arial" w:cs="Arial"/>
                      <w:color w:val="000000"/>
                      <w:sz w:val="22"/>
                      <w:szCs w:val="22"/>
                      <w:lang w:val="es-CO" w:eastAsia="es-CO"/>
                    </w:rPr>
                    <w:t>GLOBAL</w:t>
                  </w:r>
                </w:p>
              </w:tc>
            </w:tr>
          </w:tbl>
          <w:p w:rsidR="007F4465" w:rsidRDefault="007F4465" w:rsidP="007F4465">
            <w:pPr>
              <w:jc w:val="both"/>
              <w:rPr>
                <w:rFonts w:ascii="Arial" w:hAnsi="Arial" w:cs="Arial"/>
                <w:sz w:val="22"/>
                <w:szCs w:val="22"/>
                <w:lang w:val="es-CO"/>
              </w:rPr>
            </w:pPr>
          </w:p>
          <w:p w:rsidR="007F4465" w:rsidRPr="007452FA" w:rsidRDefault="007F4465" w:rsidP="007F4465">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7F4465" w:rsidRPr="00034BD0" w:rsidRDefault="007F4465" w:rsidP="007F4465">
            <w:pPr>
              <w:rPr>
                <w:rFonts w:ascii="Arial" w:hAnsi="Arial" w:cs="Arial"/>
                <w:sz w:val="24"/>
                <w:szCs w:val="22"/>
                <w:lang w:val="es-CO"/>
              </w:rPr>
            </w:pPr>
            <w:r w:rsidRPr="00034BD0">
              <w:rPr>
                <w:rFonts w:ascii="Arial" w:hAnsi="Arial" w:cs="Arial"/>
                <w:sz w:val="24"/>
                <w:szCs w:val="22"/>
                <w:lang w:val="es-CO"/>
              </w:rPr>
              <w:t>Se requiere visita a las instalaciones de la Seccional.</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420AA" w:rsidP="004A758B">
            <w:pPr>
              <w:rPr>
                <w:rFonts w:ascii="Arial" w:hAnsi="Arial" w:cs="Arial"/>
                <w:sz w:val="22"/>
                <w:szCs w:val="22"/>
                <w:lang w:val="es-CO"/>
              </w:rPr>
            </w:pPr>
            <w:r w:rsidRPr="00AA608F">
              <w:rPr>
                <w:rFonts w:ascii="Arial" w:hAnsi="Arial" w:cs="Arial"/>
                <w:sz w:val="22"/>
                <w:szCs w:val="22"/>
                <w:lang w:val="es-CO"/>
              </w:rPr>
              <w:t>INSTALACIONES DE LA UNIVERSIDAD DE CUNDINAMARCA SECCIONAL UBATE</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3420AA" w:rsidP="004A758B">
            <w:pPr>
              <w:jc w:val="both"/>
              <w:rPr>
                <w:rFonts w:ascii="Arial" w:hAnsi="Arial" w:cs="Arial"/>
                <w:sz w:val="22"/>
                <w:szCs w:val="22"/>
                <w:lang w:val="es-CO"/>
              </w:rPr>
            </w:pPr>
            <w:r>
              <w:rPr>
                <w:rFonts w:ascii="Arial" w:hAnsi="Arial" w:cs="Arial"/>
                <w:sz w:val="22"/>
                <w:szCs w:val="22"/>
                <w:lang w:val="es-CO"/>
              </w:rPr>
              <w:t>TREINTA (30) DÍAS CALENDARIO</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F4465" w:rsidRDefault="007F4465" w:rsidP="003420AA">
            <w:pPr>
              <w:rPr>
                <w:rFonts w:ascii="Arial" w:hAnsi="Arial" w:cs="Arial"/>
                <w:b/>
                <w:sz w:val="22"/>
                <w:szCs w:val="22"/>
                <w:lang w:val="es-CO"/>
              </w:rPr>
            </w:pPr>
          </w:p>
          <w:p w:rsidR="007F4465" w:rsidRDefault="007F4465" w:rsidP="003420AA">
            <w:pPr>
              <w:rPr>
                <w:rFonts w:ascii="Arial" w:hAnsi="Arial" w:cs="Arial"/>
                <w:b/>
                <w:sz w:val="22"/>
                <w:szCs w:val="22"/>
                <w:lang w:val="es-CO"/>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7F4465" w:rsidRPr="00916A5E" w:rsidRDefault="007F4465" w:rsidP="003420AA">
            <w:pPr>
              <w:rPr>
                <w:rFonts w:ascii="Arial" w:hAnsi="Arial" w:cs="Arial"/>
                <w:b/>
                <w:sz w:val="22"/>
                <w:szCs w:val="22"/>
                <w:lang w:val="es-CO"/>
              </w:rPr>
            </w:pP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7F4465" w:rsidRDefault="007F4465"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lastRenderedPageBreak/>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7F4465" w:rsidRPr="00034BD0" w:rsidRDefault="007F4465" w:rsidP="007F4465">
            <w:pPr>
              <w:jc w:val="both"/>
              <w:rPr>
                <w:rFonts w:ascii="Arial" w:hAnsi="Arial" w:cs="Arial"/>
                <w:b/>
                <w:sz w:val="22"/>
                <w:szCs w:val="22"/>
                <w:lang w:val="es-CO"/>
              </w:rPr>
            </w:pPr>
            <w:r w:rsidRPr="00034BD0">
              <w:rPr>
                <w:rFonts w:ascii="Arial" w:hAnsi="Arial" w:cs="Arial"/>
                <w:b/>
                <w:sz w:val="22"/>
                <w:szCs w:val="22"/>
                <w:lang w:val="es-CO"/>
              </w:rPr>
              <w:t>1</w:t>
            </w:r>
            <w:r>
              <w:rPr>
                <w:rFonts w:ascii="Arial" w:hAnsi="Arial" w:cs="Arial"/>
                <w:b/>
                <w:sz w:val="22"/>
                <w:szCs w:val="22"/>
                <w:lang w:val="es-CO"/>
              </w:rPr>
              <w:t xml:space="preserve">. </w:t>
            </w:r>
            <w:r w:rsidRPr="00034BD0">
              <w:rPr>
                <w:rFonts w:ascii="Arial" w:hAnsi="Arial" w:cs="Arial"/>
                <w:sz w:val="22"/>
                <w:szCs w:val="22"/>
                <w:lang w:val="es-CO"/>
              </w:rPr>
              <w:t>Efectuar las actividades objeto del Contrato, a los precios y condiciones señaladas en la propuesta presentada, la cual hará parte del contrato.</w:t>
            </w:r>
          </w:p>
          <w:p w:rsidR="007F4465" w:rsidRPr="00034BD0" w:rsidRDefault="007F4465" w:rsidP="007F4465">
            <w:pPr>
              <w:jc w:val="both"/>
              <w:rPr>
                <w:rFonts w:ascii="Arial" w:hAnsi="Arial" w:cs="Arial"/>
                <w:b/>
                <w:sz w:val="22"/>
                <w:szCs w:val="22"/>
                <w:lang w:val="es-CO"/>
              </w:rPr>
            </w:pPr>
            <w:r w:rsidRPr="00034BD0">
              <w:rPr>
                <w:rFonts w:ascii="Arial" w:hAnsi="Arial" w:cs="Arial"/>
                <w:b/>
                <w:sz w:val="22"/>
                <w:szCs w:val="22"/>
                <w:lang w:val="es-CO"/>
              </w:rPr>
              <w:t>2</w:t>
            </w:r>
            <w:r>
              <w:rPr>
                <w:rFonts w:ascii="Arial" w:hAnsi="Arial" w:cs="Arial"/>
                <w:b/>
                <w:sz w:val="22"/>
                <w:szCs w:val="22"/>
                <w:lang w:val="es-CO"/>
              </w:rPr>
              <w:t>.</w:t>
            </w:r>
            <w:r w:rsidRPr="00034BD0">
              <w:rPr>
                <w:rFonts w:ascii="Arial" w:hAnsi="Arial" w:cs="Arial"/>
                <w:b/>
                <w:sz w:val="22"/>
                <w:szCs w:val="22"/>
                <w:lang w:val="es-CO"/>
              </w:rPr>
              <w:t xml:space="preserve"> </w:t>
            </w:r>
            <w:r>
              <w:rPr>
                <w:rFonts w:ascii="Arial" w:hAnsi="Arial" w:cs="Arial"/>
                <w:b/>
                <w:sz w:val="22"/>
                <w:szCs w:val="22"/>
                <w:lang w:val="es-CO"/>
              </w:rPr>
              <w:t xml:space="preserve"> </w:t>
            </w:r>
            <w:r w:rsidRPr="00034BD0">
              <w:rPr>
                <w:rFonts w:ascii="Arial" w:hAnsi="Arial" w:cs="Arial"/>
                <w:sz w:val="22"/>
                <w:szCs w:val="22"/>
                <w:lang w:val="es-CO"/>
              </w:rPr>
              <w:t>El personal que el contratista designe para ejecutar las actividades deberá portar el carné ARL a la vista</w:t>
            </w:r>
          </w:p>
          <w:p w:rsidR="007F4465" w:rsidRPr="00034BD0" w:rsidRDefault="007F4465" w:rsidP="007F4465">
            <w:pPr>
              <w:jc w:val="both"/>
              <w:rPr>
                <w:rFonts w:ascii="Arial" w:hAnsi="Arial" w:cs="Arial"/>
                <w:b/>
                <w:sz w:val="22"/>
                <w:szCs w:val="22"/>
                <w:lang w:val="es-CO"/>
              </w:rPr>
            </w:pPr>
            <w:r w:rsidRPr="00034BD0">
              <w:rPr>
                <w:rFonts w:ascii="Arial" w:hAnsi="Arial" w:cs="Arial"/>
                <w:b/>
                <w:sz w:val="22"/>
                <w:szCs w:val="22"/>
                <w:lang w:val="es-CO"/>
              </w:rPr>
              <w:t>3</w:t>
            </w:r>
            <w:r>
              <w:rPr>
                <w:rFonts w:ascii="Arial" w:hAnsi="Arial" w:cs="Arial"/>
                <w:b/>
                <w:sz w:val="22"/>
                <w:szCs w:val="22"/>
                <w:lang w:val="es-CO"/>
              </w:rPr>
              <w:t>.</w:t>
            </w:r>
            <w:r w:rsidRPr="00034BD0">
              <w:rPr>
                <w:rFonts w:ascii="Arial" w:hAnsi="Arial" w:cs="Arial"/>
                <w:b/>
                <w:sz w:val="22"/>
                <w:szCs w:val="22"/>
                <w:lang w:val="es-CO"/>
              </w:rPr>
              <w:t xml:space="preserve"> </w:t>
            </w:r>
            <w:r>
              <w:rPr>
                <w:rFonts w:ascii="Arial" w:hAnsi="Arial" w:cs="Arial"/>
                <w:b/>
                <w:sz w:val="22"/>
                <w:szCs w:val="22"/>
                <w:lang w:val="es-CO"/>
              </w:rPr>
              <w:t xml:space="preserve"> </w:t>
            </w:r>
            <w:r w:rsidRPr="00034BD0">
              <w:rPr>
                <w:rFonts w:ascii="Arial" w:hAnsi="Arial" w:cs="Arial"/>
                <w:sz w:val="22"/>
                <w:szCs w:val="22"/>
                <w:lang w:val="es-CO"/>
              </w:rPr>
              <w:t>Garantizar la calidad del servicio y materiales utilizados.</w:t>
            </w:r>
          </w:p>
          <w:p w:rsidR="007F4465" w:rsidRPr="00034BD0" w:rsidRDefault="007F4465" w:rsidP="007F4465">
            <w:pPr>
              <w:jc w:val="both"/>
              <w:rPr>
                <w:rFonts w:ascii="Arial" w:hAnsi="Arial" w:cs="Arial"/>
                <w:b/>
                <w:sz w:val="22"/>
                <w:szCs w:val="22"/>
                <w:lang w:val="es-CO"/>
              </w:rPr>
            </w:pPr>
            <w:r w:rsidRPr="00034BD0">
              <w:rPr>
                <w:rFonts w:ascii="Arial" w:hAnsi="Arial" w:cs="Arial"/>
                <w:b/>
                <w:sz w:val="22"/>
                <w:szCs w:val="22"/>
                <w:lang w:val="es-CO"/>
              </w:rPr>
              <w:t>4</w:t>
            </w:r>
            <w:r>
              <w:rPr>
                <w:rFonts w:ascii="Arial" w:hAnsi="Arial" w:cs="Arial"/>
                <w:b/>
                <w:sz w:val="22"/>
                <w:szCs w:val="22"/>
                <w:lang w:val="es-CO"/>
              </w:rPr>
              <w:t>.</w:t>
            </w:r>
            <w:r w:rsidRPr="00034BD0">
              <w:rPr>
                <w:rFonts w:ascii="Arial" w:hAnsi="Arial" w:cs="Arial"/>
                <w:b/>
                <w:sz w:val="22"/>
                <w:szCs w:val="22"/>
                <w:lang w:val="es-CO"/>
              </w:rPr>
              <w:t xml:space="preserve"> </w:t>
            </w:r>
            <w:r w:rsidRPr="00034BD0">
              <w:rPr>
                <w:rFonts w:ascii="Arial" w:hAnsi="Arial" w:cs="Arial"/>
                <w:sz w:val="22"/>
                <w:szCs w:val="22"/>
                <w:lang w:val="es-CO"/>
              </w:rPr>
              <w:t>Presentar un informe general sobre el desarrollo del objeto contractual, al finalizar el contrato.</w:t>
            </w:r>
          </w:p>
          <w:p w:rsidR="00BA6693" w:rsidRPr="007452FA" w:rsidRDefault="007F4465" w:rsidP="007F4465">
            <w:pPr>
              <w:jc w:val="both"/>
              <w:rPr>
                <w:rFonts w:ascii="Arial" w:hAnsi="Arial" w:cs="Arial"/>
                <w:sz w:val="22"/>
                <w:szCs w:val="22"/>
                <w:lang w:val="es-CO"/>
              </w:rPr>
            </w:pPr>
            <w:r w:rsidRPr="00034BD0">
              <w:rPr>
                <w:rFonts w:ascii="Arial" w:hAnsi="Arial" w:cs="Arial"/>
                <w:b/>
                <w:sz w:val="22"/>
                <w:szCs w:val="22"/>
                <w:lang w:val="es-CO"/>
              </w:rPr>
              <w:t>5</w:t>
            </w:r>
            <w:r>
              <w:rPr>
                <w:rFonts w:ascii="Arial" w:hAnsi="Arial" w:cs="Arial"/>
                <w:b/>
                <w:sz w:val="22"/>
                <w:szCs w:val="22"/>
                <w:lang w:val="es-CO"/>
              </w:rPr>
              <w:t>.</w:t>
            </w:r>
            <w:r w:rsidRPr="00034BD0">
              <w:rPr>
                <w:rFonts w:ascii="Arial" w:hAnsi="Arial" w:cs="Arial"/>
                <w:b/>
                <w:sz w:val="22"/>
                <w:szCs w:val="22"/>
                <w:lang w:val="es-CO"/>
              </w:rPr>
              <w:t xml:space="preserve"> </w:t>
            </w:r>
            <w:r w:rsidRPr="00034BD0">
              <w:rPr>
                <w:rFonts w:ascii="Arial" w:hAnsi="Arial" w:cs="Arial"/>
                <w:sz w:val="22"/>
                <w:szCs w:val="22"/>
                <w:lang w:val="es-CO"/>
              </w:rPr>
              <w:t>Mantener durante la ejecución del contrato el recurso humano, técnico, físico y demás que conlleve al cumplimiento del objeto del contrato</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A56715">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A56715">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A56715">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420AA" w:rsidP="004A758B">
            <w:pPr>
              <w:rPr>
                <w:rFonts w:ascii="Arial" w:hAnsi="Arial" w:cs="Arial"/>
                <w:sz w:val="22"/>
                <w:szCs w:val="22"/>
                <w:lang w:val="es-CO"/>
              </w:rPr>
            </w:pPr>
            <w:r>
              <w:rPr>
                <w:rFonts w:ascii="Arial" w:hAnsi="Arial" w:cs="Arial"/>
                <w:sz w:val="22"/>
                <w:szCs w:val="22"/>
                <w:lang w:val="es-CO"/>
              </w:rPr>
              <w:t>UN (1) PAGO CONTRAENTREGA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Default="00BA6693" w:rsidP="004A758B">
      <w:pPr>
        <w:pStyle w:val="Prrafodelista"/>
        <w:ind w:left="0"/>
        <w:rPr>
          <w:rFonts w:ascii="Arial" w:hAnsi="Arial" w:cs="Arial"/>
          <w:b/>
          <w:sz w:val="22"/>
          <w:szCs w:val="22"/>
          <w:lang w:val="es-CO"/>
        </w:rPr>
      </w:pPr>
    </w:p>
    <w:p w:rsidR="007F4465" w:rsidRPr="007452FA" w:rsidRDefault="007F4465"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A56715" w:rsidRPr="007452FA" w:rsidRDefault="00A56715"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29" w:rsidRDefault="00623629" w:rsidP="0044036E">
      <w:r>
        <w:separator/>
      </w:r>
    </w:p>
  </w:endnote>
  <w:endnote w:type="continuationSeparator" w:id="0">
    <w:p w:rsidR="00623629" w:rsidRDefault="0062362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62362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29" w:rsidRDefault="00623629" w:rsidP="0044036E">
      <w:r>
        <w:separator/>
      </w:r>
    </w:p>
  </w:footnote>
  <w:footnote w:type="continuationSeparator" w:id="0">
    <w:p w:rsidR="00623629" w:rsidRDefault="0062362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23C53">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23C53">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15DA"/>
    <w:rsid w:val="003A7D47"/>
    <w:rsid w:val="003E35EA"/>
    <w:rsid w:val="003E6A86"/>
    <w:rsid w:val="00400054"/>
    <w:rsid w:val="0044036E"/>
    <w:rsid w:val="00442F6B"/>
    <w:rsid w:val="00447B61"/>
    <w:rsid w:val="00470C47"/>
    <w:rsid w:val="00477117"/>
    <w:rsid w:val="004A758B"/>
    <w:rsid w:val="004D73AA"/>
    <w:rsid w:val="004F3DFD"/>
    <w:rsid w:val="004F4228"/>
    <w:rsid w:val="00532A49"/>
    <w:rsid w:val="0059706A"/>
    <w:rsid w:val="005A6779"/>
    <w:rsid w:val="005C4A02"/>
    <w:rsid w:val="00610723"/>
    <w:rsid w:val="006232A8"/>
    <w:rsid w:val="00623629"/>
    <w:rsid w:val="0064730D"/>
    <w:rsid w:val="00663084"/>
    <w:rsid w:val="00664485"/>
    <w:rsid w:val="0069115C"/>
    <w:rsid w:val="006A5715"/>
    <w:rsid w:val="006A7944"/>
    <w:rsid w:val="006C5D4D"/>
    <w:rsid w:val="0070000B"/>
    <w:rsid w:val="00711960"/>
    <w:rsid w:val="007120C4"/>
    <w:rsid w:val="00727A5C"/>
    <w:rsid w:val="007409BA"/>
    <w:rsid w:val="007452FA"/>
    <w:rsid w:val="00777A10"/>
    <w:rsid w:val="00793462"/>
    <w:rsid w:val="007C31B3"/>
    <w:rsid w:val="007C6721"/>
    <w:rsid w:val="007D2922"/>
    <w:rsid w:val="007D59C0"/>
    <w:rsid w:val="007D5F28"/>
    <w:rsid w:val="007F446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23C53"/>
    <w:rsid w:val="00932BFB"/>
    <w:rsid w:val="00935C0B"/>
    <w:rsid w:val="00936358"/>
    <w:rsid w:val="00953B68"/>
    <w:rsid w:val="0095467C"/>
    <w:rsid w:val="009706EA"/>
    <w:rsid w:val="0097589F"/>
    <w:rsid w:val="00980A69"/>
    <w:rsid w:val="009C56C3"/>
    <w:rsid w:val="009F781D"/>
    <w:rsid w:val="00A11A5F"/>
    <w:rsid w:val="00A23479"/>
    <w:rsid w:val="00A32D88"/>
    <w:rsid w:val="00A56715"/>
    <w:rsid w:val="00A638CC"/>
    <w:rsid w:val="00A67113"/>
    <w:rsid w:val="00A9037C"/>
    <w:rsid w:val="00A978E3"/>
    <w:rsid w:val="00AB4466"/>
    <w:rsid w:val="00AB7115"/>
    <w:rsid w:val="00AD7E67"/>
    <w:rsid w:val="00B03AD8"/>
    <w:rsid w:val="00B40BF9"/>
    <w:rsid w:val="00B5349E"/>
    <w:rsid w:val="00B81C47"/>
    <w:rsid w:val="00BA2F43"/>
    <w:rsid w:val="00BA6693"/>
    <w:rsid w:val="00C00F49"/>
    <w:rsid w:val="00C11255"/>
    <w:rsid w:val="00C25823"/>
    <w:rsid w:val="00C31B20"/>
    <w:rsid w:val="00C334D9"/>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DC9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924B-D1F9-4EF9-9889-33FA4C1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6</cp:revision>
  <cp:lastPrinted>2019-03-18T19:44:00Z</cp:lastPrinted>
  <dcterms:created xsi:type="dcterms:W3CDTF">2019-03-11T21:56:00Z</dcterms:created>
  <dcterms:modified xsi:type="dcterms:W3CDTF">2019-04-01T13:45:00Z</dcterms:modified>
</cp:coreProperties>
</file>