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93B" w:rsidRPr="00CD4D9A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65218A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A6366D">
        <w:rPr>
          <w:rFonts w:ascii="Arial" w:hAnsi="Arial" w:cs="Arial"/>
          <w:sz w:val="22"/>
          <w:szCs w:val="24"/>
        </w:rPr>
        <w:t>2019-04-10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891562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82581E" w:rsidRPr="00CF2199">
        <w:rPr>
          <w:rFonts w:ascii="Arial" w:hAnsi="Arial" w:cs="Arial"/>
          <w:color w:val="000000"/>
          <w:sz w:val="22"/>
          <w:szCs w:val="22"/>
        </w:rPr>
        <w:t>de </w:t>
      </w:r>
      <w:r w:rsidR="00CD4D9A" w:rsidRPr="00500FF0">
        <w:rPr>
          <w:rStyle w:val="apple-converted-space"/>
          <w:rFonts w:cs="Arial"/>
          <w:b/>
          <w:sz w:val="22"/>
          <w:szCs w:val="22"/>
        </w:rPr>
        <w:t>“</w:t>
      </w:r>
      <w:r w:rsidR="00CD4D9A" w:rsidRPr="004467FA">
        <w:rPr>
          <w:rStyle w:val="apple-converted-space"/>
          <w:rFonts w:ascii="Arial" w:hAnsi="Arial" w:cs="Arial"/>
          <w:b/>
          <w:sz w:val="22"/>
          <w:szCs w:val="22"/>
        </w:rPr>
        <w:t>SERVICIOS ARTÍSTICOS, CULTURALES Y ACADÉMICOS DE PROMOCIÓN A GRADUADOS EN SEDE, SECCIONALES Y EXTENSIONES</w:t>
      </w:r>
      <w:r w:rsidR="00CD4D9A" w:rsidRPr="00500FF0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</w:t>
      </w:r>
      <w:r w:rsidR="00891562">
        <w:rPr>
          <w:rFonts w:ascii="Arial" w:hAnsi="Arial" w:cs="Arial"/>
          <w:color w:val="000000"/>
          <w:sz w:val="22"/>
          <w:szCs w:val="22"/>
        </w:rPr>
        <w:t xml:space="preserve">rónico institucional de compras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CF219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 aritméticos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  <w:u w:val="single"/>
        </w:rPr>
        <w:t> 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005C9F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La evaluación económica se realizará sobre el valor de la oferta antes de I.V.A. – (Impuesto de Valor Agregado), si a ello hay lugar.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CD4D9A" w:rsidP="00D64105">
            <w:pPr>
              <w:jc w:val="both"/>
              <w:rPr>
                <w:rFonts w:ascii="Arial" w:hAnsi="Arial" w:cs="Arial"/>
                <w:szCs w:val="22"/>
              </w:rPr>
            </w:pP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$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22.770.000.00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016FA4">
              <w:rPr>
                <w:rFonts w:ascii="Arial" w:hAnsi="Arial" w:cs="Arial"/>
                <w:sz w:val="22"/>
                <w:szCs w:val="22"/>
                <w:lang w:val="es-CO"/>
              </w:rPr>
              <w:t>VEINTIDÓS MILLONES SETECIENTOS SETENTA MIL PESOS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>M/CTE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8281483, extensión 130,134.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comprasudec@ucundinamarca.edu.co  </w:t>
      </w:r>
      <w:proofErr w:type="spellStart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ó</w:t>
      </w:r>
      <w:proofErr w:type="spellEnd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a éste mismo.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CD4D9A" w:rsidRPr="006F4B91" w:rsidTr="00D94957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CD4D9A" w:rsidRPr="006F4B91" w:rsidRDefault="00CD4D9A" w:rsidP="00D94957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CD4D9A" w:rsidRPr="006F4B91" w:rsidTr="00CD4D9A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CD4D9A" w:rsidRPr="006F4B91" w:rsidRDefault="00CD4D9A" w:rsidP="00D94957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</w:t>
            </w:r>
            <w:r w:rsidRPr="006F4B91">
              <w:rPr>
                <w:rFonts w:cs="Arial"/>
                <w:sz w:val="22"/>
                <w:szCs w:val="22"/>
              </w:rPr>
              <w:lastRenderedPageBreak/>
              <w:t>anterior a treinta (30) días a la presentación de la propuesta. La actividad comercial debe ser acorde con el objeto del contrato a suscribir y/o aceptación de la oferta.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CD4D9A" w:rsidRPr="006F4B91" w:rsidTr="00CD4D9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4D9A" w:rsidRPr="006F4B91" w:rsidRDefault="00CD4D9A" w:rsidP="00D94957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CD4D9A" w:rsidRPr="006F4B91" w:rsidTr="00D94957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CD4D9A" w:rsidRPr="006F4B91" w:rsidRDefault="00CD4D9A" w:rsidP="00D94957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CD4D9A" w:rsidRPr="006F4B91" w:rsidTr="00CD4D9A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CD4D9A" w:rsidRPr="006F4B91" w:rsidRDefault="00CD4D9A" w:rsidP="00D94957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CD4D9A" w:rsidRPr="006F4B91" w:rsidTr="00CD4D9A">
        <w:trPr>
          <w:trHeight w:val="18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CD4D9A" w:rsidRPr="00932893" w:rsidRDefault="00CD4D9A" w:rsidP="00D94957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CD4D9A" w:rsidRPr="006F4B91" w:rsidTr="00CD4D9A">
        <w:trPr>
          <w:trHeight w:val="478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CD4D9A" w:rsidRPr="006F4B91" w:rsidRDefault="00CD4D9A" w:rsidP="00D9495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CD4D9A" w:rsidRPr="006F4B91" w:rsidTr="00CD4D9A">
        <w:trPr>
          <w:trHeight w:val="501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9A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CD4D9A" w:rsidRPr="006F4B91" w:rsidRDefault="00CD4D9A" w:rsidP="00D9495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CD4D9A" w:rsidRPr="006F4B91" w:rsidTr="00CD4D9A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CD4D9A" w:rsidRPr="006F4B91" w:rsidRDefault="00CD4D9A" w:rsidP="00CD4D9A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CD4D9A" w:rsidRPr="006F4B91" w:rsidRDefault="00CD4D9A" w:rsidP="00CD4D9A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CD4D9A" w:rsidRPr="006F4B91" w:rsidRDefault="00CD4D9A" w:rsidP="00CD4D9A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CD4D9A" w:rsidRPr="006F4B91" w:rsidRDefault="00CD4D9A" w:rsidP="00CD4D9A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CD4D9A" w:rsidRPr="00571FC9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CD4D9A" w:rsidRPr="006F4B91" w:rsidTr="00CD4D9A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CD4D9A" w:rsidRPr="00571FC9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proofErr w:type="gramStart"/>
            <w:r w:rsidRPr="00747FAB">
              <w:rPr>
                <w:rFonts w:cs="Arial"/>
                <w:bCs/>
                <w:sz w:val="22"/>
                <w:szCs w:val="22"/>
              </w:rPr>
              <w:t>Sociedad  y</w:t>
            </w:r>
            <w:proofErr w:type="gramEnd"/>
            <w:r w:rsidRPr="00747FAB">
              <w:rPr>
                <w:rFonts w:cs="Arial"/>
                <w:bCs/>
                <w:sz w:val="22"/>
                <w:szCs w:val="22"/>
              </w:rPr>
              <w:t xml:space="preserve">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CD4D9A" w:rsidRPr="006F4B91" w:rsidTr="00CD4D9A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4D9A" w:rsidRPr="00571FC9" w:rsidRDefault="00CD4D9A" w:rsidP="00D94957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CD4D9A" w:rsidRPr="006F4B91" w:rsidTr="00CD4D9A">
        <w:trPr>
          <w:trHeight w:val="54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4D9A" w:rsidRPr="00571FC9" w:rsidRDefault="00CD4D9A" w:rsidP="00D94957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CD4D9A" w:rsidRPr="006F4B91" w:rsidTr="00CD4D9A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CD4D9A" w:rsidRPr="006F4B91" w:rsidTr="00CD4D9A">
        <w:trPr>
          <w:trHeight w:val="40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CD4D9A" w:rsidRPr="006F4B91" w:rsidTr="00CD4D9A">
        <w:trPr>
          <w:trHeight w:val="273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4D9A" w:rsidRPr="00D15526" w:rsidRDefault="00CD4D9A" w:rsidP="00D94957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CD4D9A" w:rsidRPr="006F4B91" w:rsidRDefault="00CD4D9A" w:rsidP="00D94957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CD4D9A" w:rsidRPr="006F4B91" w:rsidRDefault="00CD4D9A" w:rsidP="00D94957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CD4D9A" w:rsidRPr="006F4B91" w:rsidRDefault="00CD4D9A" w:rsidP="00CD4D9A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CD4D9A" w:rsidRPr="00CD4D9A" w:rsidRDefault="00CD4D9A" w:rsidP="00CD4D9A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CD4D9A" w:rsidRPr="006F4B91" w:rsidTr="00CD4D9A">
        <w:trPr>
          <w:trHeight w:val="47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CD4D9A" w:rsidRPr="006F4B91" w:rsidRDefault="00CD4D9A" w:rsidP="00D94957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E40ACB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891562" w:rsidRDefault="0089156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891562">
        <w:rPr>
          <w:rFonts w:ascii="Arial" w:hAnsi="Arial" w:cs="Arial"/>
          <w:sz w:val="16"/>
        </w:rPr>
        <w:t>Katerine García O.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14E18">
        <w:rPr>
          <w:rFonts w:ascii="Arial" w:hAnsi="Arial" w:cs="Arial"/>
          <w:sz w:val="16"/>
        </w:rPr>
        <w:t xml:space="preserve">Profesional II -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F41A8D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CB" w:rsidRDefault="00E40ACB" w:rsidP="0044036E">
      <w:r>
        <w:separator/>
      </w:r>
    </w:p>
  </w:endnote>
  <w:endnote w:type="continuationSeparator" w:id="0">
    <w:p w:rsidR="00E40ACB" w:rsidRDefault="00E40AC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CB" w:rsidRDefault="00E40ACB" w:rsidP="0044036E">
      <w:r>
        <w:separator/>
      </w:r>
    </w:p>
  </w:footnote>
  <w:footnote w:type="continuationSeparator" w:id="0">
    <w:p w:rsidR="00E40ACB" w:rsidRDefault="00E40AC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6"/>
  </w:num>
  <w:num w:numId="14">
    <w:abstractNumId w:val="14"/>
  </w:num>
  <w:num w:numId="15">
    <w:abstractNumId w:val="17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90F72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32D88"/>
    <w:rsid w:val="00A40517"/>
    <w:rsid w:val="00A61F98"/>
    <w:rsid w:val="00A6366D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B4B13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D4D9A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0ACB"/>
    <w:rsid w:val="00E42895"/>
    <w:rsid w:val="00E42F00"/>
    <w:rsid w:val="00E54660"/>
    <w:rsid w:val="00E642E2"/>
    <w:rsid w:val="00E64A0B"/>
    <w:rsid w:val="00E86B81"/>
    <w:rsid w:val="00E94514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3DB00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3292-4C23-4020-AD21-F8283554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1335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8</cp:revision>
  <cp:lastPrinted>2019-02-19T14:48:00Z</cp:lastPrinted>
  <dcterms:created xsi:type="dcterms:W3CDTF">2019-03-07T22:56:00Z</dcterms:created>
  <dcterms:modified xsi:type="dcterms:W3CDTF">2019-04-10T14:05:00Z</dcterms:modified>
</cp:coreProperties>
</file>