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0C3ABF">
        <w:rPr>
          <w:rFonts w:ascii="Arial" w:hAnsi="Arial" w:cs="Arial"/>
          <w:sz w:val="22"/>
          <w:lang w:val="es-CO"/>
        </w:rPr>
        <w:t>07</w:t>
      </w:r>
      <w:r w:rsidR="00BA6693" w:rsidRPr="007452FA">
        <w:rPr>
          <w:rFonts w:ascii="Arial" w:hAnsi="Arial" w:cs="Arial"/>
          <w:sz w:val="22"/>
          <w:lang w:val="es-CO"/>
        </w:rPr>
        <w:t>-</w:t>
      </w:r>
      <w:r w:rsidR="000C3ABF">
        <w:rPr>
          <w:rFonts w:ascii="Arial" w:hAnsi="Arial" w:cs="Arial"/>
          <w:sz w:val="22"/>
          <w:lang w:val="es-CO"/>
        </w:rPr>
        <w:t>08</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AB66A2">
            <w:pPr>
              <w:jc w:val="both"/>
              <w:rPr>
                <w:rFonts w:ascii="Arial" w:hAnsi="Arial" w:cs="Arial"/>
                <w:b/>
                <w:sz w:val="22"/>
                <w:szCs w:val="22"/>
                <w:lang w:val="es-CO"/>
              </w:rPr>
            </w:pPr>
            <w:r w:rsidRPr="007452FA">
              <w:rPr>
                <w:rFonts w:ascii="Arial" w:hAnsi="Arial" w:cs="Arial"/>
                <w:b/>
                <w:sz w:val="22"/>
                <w:szCs w:val="22"/>
                <w:lang w:val="es-CO"/>
              </w:rPr>
              <w:t>Fecha:</w:t>
            </w:r>
            <w:r w:rsidR="000C3ABF">
              <w:rPr>
                <w:rFonts w:ascii="Arial" w:hAnsi="Arial" w:cs="Arial"/>
                <w:b/>
                <w:sz w:val="22"/>
                <w:szCs w:val="22"/>
                <w:lang w:val="es-CO"/>
              </w:rPr>
              <w:t xml:space="preserve"> </w:t>
            </w:r>
            <w:r w:rsidR="00AB66A2">
              <w:rPr>
                <w:rFonts w:ascii="Arial" w:hAnsi="Arial" w:cs="Arial"/>
                <w:b/>
                <w:sz w:val="22"/>
                <w:szCs w:val="22"/>
                <w:lang w:val="es-CO"/>
              </w:rPr>
              <w:t>11</w:t>
            </w:r>
            <w:r w:rsidR="00605A3F">
              <w:rPr>
                <w:rFonts w:ascii="Arial" w:hAnsi="Arial" w:cs="Arial"/>
                <w:b/>
                <w:sz w:val="22"/>
                <w:szCs w:val="22"/>
                <w:lang w:val="es-CO"/>
              </w:rPr>
              <w:t xml:space="preserve"> de </w:t>
            </w:r>
            <w:r w:rsidR="000C3ABF">
              <w:rPr>
                <w:rFonts w:ascii="Arial" w:hAnsi="Arial" w:cs="Arial"/>
                <w:b/>
                <w:sz w:val="22"/>
                <w:szCs w:val="22"/>
                <w:lang w:val="es-CO"/>
              </w:rPr>
              <w:t>julio 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4A758B">
            <w:pPr>
              <w:tabs>
                <w:tab w:val="left" w:pos="5640"/>
              </w:tabs>
              <w:rPr>
                <w:rFonts w:ascii="Arial" w:hAnsi="Arial" w:cs="Arial"/>
                <w:sz w:val="22"/>
                <w:szCs w:val="22"/>
                <w:lang w:val="es-CO"/>
              </w:rPr>
            </w:pPr>
          </w:p>
          <w:p w:rsidR="00BA6693" w:rsidRPr="007452FA" w:rsidRDefault="000C3ABF" w:rsidP="002D7BBC">
            <w:pPr>
              <w:tabs>
                <w:tab w:val="left" w:pos="5640"/>
              </w:tabs>
              <w:jc w:val="both"/>
              <w:rPr>
                <w:rFonts w:ascii="Arial" w:hAnsi="Arial" w:cs="Arial"/>
                <w:sz w:val="22"/>
                <w:szCs w:val="22"/>
                <w:lang w:val="es-CO"/>
              </w:rPr>
            </w:pPr>
            <w:r w:rsidRPr="000C3ABF">
              <w:rPr>
                <w:rFonts w:ascii="Arial" w:hAnsi="Arial" w:cs="Arial"/>
                <w:sz w:val="22"/>
                <w:szCs w:val="22"/>
                <w:lang w:val="es-CO"/>
              </w:rPr>
              <w:t>RECONOCER LA LABOR ACADÉMICA DEL PROFESOR S21, COMO GESTOR DE CONOCIMIENTO Y APRENDIZAJE PARA CONSOLIDAR EL MEDIT Y ACTOR FUNDAMENTAL DE LA ESCUELA DE FORMACIÓN Y APRENDIZAJE DOCENTE</w:t>
            </w:r>
            <w:r w:rsidR="00DF651D">
              <w:rPr>
                <w:rFonts w:ascii="Arial" w:hAnsi="Arial" w:cs="Arial"/>
                <w:sz w:val="22"/>
                <w:szCs w:val="22"/>
                <w:lang w:val="es-CO"/>
              </w:rPr>
              <w:t>.</w:t>
            </w:r>
          </w:p>
          <w:p w:rsidR="00BA6693" w:rsidRPr="007452FA" w:rsidRDefault="00BA6693" w:rsidP="004A758B">
            <w:pPr>
              <w:tabs>
                <w:tab w:val="left" w:pos="5640"/>
              </w:tabs>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0C3ABF" w:rsidP="004A758B">
            <w:pPr>
              <w:pStyle w:val="Prrafodelista"/>
              <w:ind w:left="0"/>
              <w:jc w:val="both"/>
              <w:rPr>
                <w:rFonts w:ascii="Arial" w:hAnsi="Arial" w:cs="Arial"/>
                <w:sz w:val="22"/>
                <w:szCs w:val="22"/>
                <w:lang w:val="es-CO"/>
              </w:rPr>
            </w:pPr>
            <w:r>
              <w:rPr>
                <w:rFonts w:ascii="Arial" w:hAnsi="Arial" w:cs="Arial"/>
                <w:sz w:val="22"/>
                <w:szCs w:val="22"/>
                <w:lang w:val="es-CO"/>
              </w:rPr>
              <w:t>$ 34.506.430,00</w:t>
            </w:r>
          </w:p>
          <w:p w:rsidR="00BA6693" w:rsidRPr="007452FA" w:rsidRDefault="00BA6693" w:rsidP="004A758B">
            <w:pPr>
              <w:pStyle w:val="Prrafodelista"/>
              <w:ind w:left="0"/>
              <w:jc w:val="both"/>
              <w:rPr>
                <w:rFonts w:ascii="Arial" w:hAnsi="Arial" w:cs="Arial"/>
                <w:sz w:val="22"/>
                <w:szCs w:val="22"/>
                <w:lang w:val="es-CO"/>
              </w:rPr>
            </w:pP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892"/>
              <w:gridCol w:w="897"/>
              <w:gridCol w:w="897"/>
              <w:gridCol w:w="893"/>
              <w:gridCol w:w="894"/>
              <w:gridCol w:w="447"/>
              <w:gridCol w:w="751"/>
              <w:gridCol w:w="13"/>
              <w:gridCol w:w="1011"/>
            </w:tblGrid>
            <w:tr w:rsidR="00CE4861" w:rsidRPr="005571FA" w:rsidTr="00CE4861">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Ítem</w:t>
                  </w:r>
                </w:p>
              </w:tc>
              <w:tc>
                <w:tcPr>
                  <w:tcW w:w="1892"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897"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97"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9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0C3ABF"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1892" w:type="dxa"/>
                  <w:tcBorders>
                    <w:top w:val="nil"/>
                    <w:left w:val="nil"/>
                    <w:bottom w:val="single" w:sz="4" w:space="0" w:color="auto"/>
                    <w:right w:val="single" w:sz="4" w:space="0" w:color="auto"/>
                  </w:tcBorders>
                  <w:shd w:val="clear" w:color="auto" w:fill="auto"/>
                  <w:vAlign w:val="center"/>
                </w:tcPr>
                <w:p w:rsidR="00CE4861" w:rsidRDefault="000C3ABF" w:rsidP="000C3ABF">
                  <w:pPr>
                    <w:jc w:val="center"/>
                    <w:rPr>
                      <w:rFonts w:ascii="Arial" w:hAnsi="Arial" w:cs="Arial"/>
                      <w:sz w:val="16"/>
                      <w:szCs w:val="16"/>
                    </w:rPr>
                  </w:pPr>
                  <w:r>
                    <w:rPr>
                      <w:rFonts w:ascii="Arial" w:hAnsi="Arial" w:cs="Arial"/>
                      <w:sz w:val="16"/>
                      <w:szCs w:val="16"/>
                    </w:rPr>
                    <w:t>R</w:t>
                  </w:r>
                  <w:r w:rsidRPr="000C3ABF">
                    <w:rPr>
                      <w:rFonts w:ascii="Arial" w:hAnsi="Arial" w:cs="Arial"/>
                      <w:sz w:val="16"/>
                      <w:szCs w:val="16"/>
                    </w:rPr>
                    <w:t>econocer la labor académica del profesor s21, como gestor de conocimiento y ap</w:t>
                  </w:r>
                  <w:r>
                    <w:rPr>
                      <w:rFonts w:ascii="Arial" w:hAnsi="Arial" w:cs="Arial"/>
                      <w:sz w:val="16"/>
                      <w:szCs w:val="16"/>
                    </w:rPr>
                    <w:t>rendizaje para consolidar el MEDIT</w:t>
                  </w:r>
                  <w:r w:rsidRPr="000C3ABF">
                    <w:rPr>
                      <w:rFonts w:ascii="Arial" w:hAnsi="Arial" w:cs="Arial"/>
                      <w:sz w:val="16"/>
                      <w:szCs w:val="16"/>
                    </w:rPr>
                    <w:t xml:space="preserve"> y actor fundamental de la escuela de formación y aprendizaje docente</w:t>
                  </w:r>
                  <w:r>
                    <w:rPr>
                      <w:rFonts w:ascii="Arial" w:hAnsi="Arial" w:cs="Arial"/>
                      <w:sz w:val="16"/>
                      <w:szCs w:val="16"/>
                    </w:rPr>
                    <w:t xml:space="preserve">. Entregar un </w:t>
                  </w:r>
                  <w:proofErr w:type="spellStart"/>
                  <w:r>
                    <w:rPr>
                      <w:rFonts w:ascii="Arial" w:hAnsi="Arial" w:cs="Arial"/>
                      <w:sz w:val="16"/>
                      <w:szCs w:val="16"/>
                    </w:rPr>
                    <w:t>estimulo</w:t>
                  </w:r>
                  <w:proofErr w:type="spellEnd"/>
                  <w:r>
                    <w:rPr>
                      <w:rFonts w:ascii="Arial" w:hAnsi="Arial" w:cs="Arial"/>
                      <w:sz w:val="16"/>
                      <w:szCs w:val="16"/>
                    </w:rPr>
                    <w:t xml:space="preserve"> a los 1.070 integrantes de </w:t>
                  </w:r>
                  <w:r>
                    <w:rPr>
                      <w:rFonts w:ascii="Arial" w:hAnsi="Arial" w:cs="Arial"/>
                      <w:sz w:val="16"/>
                      <w:szCs w:val="16"/>
                    </w:rPr>
                    <w:lastRenderedPageBreak/>
                    <w:t xml:space="preserve">la comunidad académica (Decanos, Docentes, Coordinadores y Directores de programas académicos de pregrado y posgrado) de la </w:t>
                  </w:r>
                  <w:proofErr w:type="spellStart"/>
                  <w:r>
                    <w:rPr>
                      <w:rFonts w:ascii="Arial" w:hAnsi="Arial" w:cs="Arial"/>
                      <w:sz w:val="16"/>
                      <w:szCs w:val="16"/>
                    </w:rPr>
                    <w:t>Ucundinamarca</w:t>
                  </w:r>
                  <w:proofErr w:type="spellEnd"/>
                  <w:r>
                    <w:rPr>
                      <w:rFonts w:ascii="Arial" w:hAnsi="Arial" w:cs="Arial"/>
                      <w:sz w:val="16"/>
                      <w:szCs w:val="16"/>
                    </w:rPr>
                    <w:t xml:space="preserve"> generación Siglo 21.</w:t>
                  </w:r>
                </w:p>
                <w:p w:rsidR="000C3ABF" w:rsidRDefault="000C3ABF" w:rsidP="000C3ABF">
                  <w:pPr>
                    <w:jc w:val="center"/>
                    <w:rPr>
                      <w:rFonts w:ascii="Arial" w:hAnsi="Arial" w:cs="Arial"/>
                      <w:sz w:val="16"/>
                      <w:szCs w:val="16"/>
                    </w:rPr>
                  </w:pPr>
                </w:p>
                <w:p w:rsidR="000C3ABF" w:rsidRDefault="000C3ABF" w:rsidP="000C3ABF">
                  <w:pPr>
                    <w:jc w:val="center"/>
                    <w:rPr>
                      <w:rFonts w:ascii="Arial" w:hAnsi="Arial" w:cs="Arial"/>
                      <w:sz w:val="16"/>
                      <w:szCs w:val="16"/>
                    </w:rPr>
                  </w:pPr>
                  <w:r>
                    <w:rPr>
                      <w:rFonts w:ascii="Arial" w:hAnsi="Arial" w:cs="Arial"/>
                      <w:sz w:val="16"/>
                      <w:szCs w:val="16"/>
                    </w:rPr>
                    <w:t>Maletín con cargadera ajustable, agarraderas, bolsillo principal con compartimiento para portátil de 14” y cierre en cremallera, bolsillo frontal tipo sobre.</w:t>
                  </w:r>
                </w:p>
                <w:p w:rsidR="000C3ABF" w:rsidRDefault="000C3ABF" w:rsidP="000C3ABF">
                  <w:pPr>
                    <w:jc w:val="center"/>
                    <w:rPr>
                      <w:rFonts w:ascii="Arial" w:hAnsi="Arial" w:cs="Arial"/>
                      <w:sz w:val="16"/>
                      <w:szCs w:val="16"/>
                    </w:rPr>
                  </w:pPr>
                  <w:r>
                    <w:rPr>
                      <w:rFonts w:ascii="Arial" w:hAnsi="Arial" w:cs="Arial"/>
                      <w:sz w:val="16"/>
                      <w:szCs w:val="16"/>
                    </w:rPr>
                    <w:t>Medidas: 38x7, 5x30cm</w:t>
                  </w:r>
                </w:p>
                <w:p w:rsidR="000C3ABF" w:rsidRDefault="000C3ABF" w:rsidP="000C3ABF">
                  <w:pPr>
                    <w:jc w:val="center"/>
                    <w:rPr>
                      <w:rFonts w:ascii="Arial" w:hAnsi="Arial" w:cs="Arial"/>
                      <w:sz w:val="16"/>
                      <w:szCs w:val="16"/>
                    </w:rPr>
                  </w:pPr>
                  <w:r>
                    <w:rPr>
                      <w:rFonts w:ascii="Arial" w:hAnsi="Arial" w:cs="Arial"/>
                      <w:sz w:val="16"/>
                      <w:szCs w:val="16"/>
                    </w:rPr>
                    <w:t>Placa frontal de medidas 6x4cm con logo estampado y leyenda a solicitud.</w:t>
                  </w:r>
                </w:p>
                <w:p w:rsidR="000C3ABF" w:rsidRPr="005571FA" w:rsidRDefault="000C3ABF" w:rsidP="000C3ABF">
                  <w:pPr>
                    <w:jc w:val="center"/>
                    <w:rPr>
                      <w:rFonts w:ascii="Arial" w:hAnsi="Arial" w:cs="Arial"/>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lastRenderedPageBreak/>
                    <w:t>UNIDAD</w:t>
                  </w:r>
                </w:p>
              </w:tc>
              <w:tc>
                <w:tcPr>
                  <w:tcW w:w="897" w:type="dxa"/>
                  <w:tcBorders>
                    <w:top w:val="nil"/>
                    <w:left w:val="nil"/>
                    <w:bottom w:val="single" w:sz="4" w:space="0" w:color="auto"/>
                    <w:right w:val="single" w:sz="4" w:space="0" w:color="auto"/>
                  </w:tcBorders>
                  <w:shd w:val="clear" w:color="auto" w:fill="auto"/>
                  <w:noWrap/>
                  <w:vAlign w:val="center"/>
                  <w:hideMark/>
                </w:tcPr>
                <w:p w:rsidR="00CE4861" w:rsidRPr="005571FA" w:rsidRDefault="000C3ABF" w:rsidP="005571FA">
                  <w:pPr>
                    <w:jc w:val="center"/>
                    <w:rPr>
                      <w:rFonts w:ascii="Arial" w:hAnsi="Arial" w:cs="Arial"/>
                      <w:sz w:val="16"/>
                      <w:szCs w:val="16"/>
                    </w:rPr>
                  </w:pPr>
                  <w:r>
                    <w:rPr>
                      <w:rFonts w:ascii="Arial" w:hAnsi="Arial" w:cs="Arial"/>
                      <w:sz w:val="16"/>
                      <w:szCs w:val="16"/>
                    </w:rPr>
                    <w:t>1.070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CE4861"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IVA ___ (%)</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AB66A2" w:rsidRDefault="00AB66A2" w:rsidP="004A758B">
            <w:pPr>
              <w:jc w:val="both"/>
              <w:rPr>
                <w:rFonts w:ascii="Arial" w:hAnsi="Arial" w:cs="Arial"/>
                <w:b/>
                <w:sz w:val="22"/>
                <w:szCs w:val="22"/>
                <w:u w:val="single"/>
                <w:lang w:val="es-CO"/>
              </w:rPr>
            </w:pPr>
            <w:r w:rsidRPr="00AB66A2">
              <w:rPr>
                <w:rFonts w:ascii="Arial" w:hAnsi="Arial" w:cs="Arial"/>
                <w:b/>
                <w:sz w:val="22"/>
                <w:szCs w:val="22"/>
                <w:u w:val="single"/>
                <w:lang w:val="es-CO"/>
              </w:rPr>
              <w:t xml:space="preserve">PARA LA PRESENTACIÓN DE LAS COTIZACIONES ES REQUERIDO PRESENTAR UNA MUESTRA DEL MATERIAL DEFINIDO. </w:t>
            </w: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B9597D">
        <w:trPr>
          <w:trHeight w:val="1378"/>
          <w:jc w:val="center"/>
        </w:trPr>
        <w:tc>
          <w:tcPr>
            <w:tcW w:w="8215" w:type="dxa"/>
          </w:tcPr>
          <w:p w:rsidR="00B9597D" w:rsidRPr="007452FA" w:rsidRDefault="00B9597D" w:rsidP="009167AD">
            <w:pPr>
              <w:jc w:val="both"/>
              <w:rPr>
                <w:rFonts w:ascii="Arial" w:hAnsi="Arial" w:cs="Arial"/>
                <w:sz w:val="22"/>
                <w:szCs w:val="22"/>
                <w:lang w:val="es-CO"/>
              </w:rPr>
            </w:pPr>
            <w:r>
              <w:rPr>
                <w:rFonts w:ascii="Arial" w:hAnsi="Arial" w:cs="Arial"/>
                <w:sz w:val="22"/>
                <w:szCs w:val="22"/>
                <w:lang w:val="es-CO"/>
              </w:rPr>
              <w:t>La entrega se realizará en cada una de la Sede (Fusagasugá), seccionales (Girardot y Ubaté) y extensiones (Facatativá, Soacha, Chía y Zipaquirá) de la Universidad de Cundinamarca, de acuerdo a las Unidades especificadas por el supervisor para cada sitio.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AB0458" w:rsidP="004A758B">
            <w:pPr>
              <w:jc w:val="both"/>
              <w:rPr>
                <w:rFonts w:ascii="Arial" w:hAnsi="Arial" w:cs="Arial"/>
                <w:sz w:val="22"/>
                <w:szCs w:val="22"/>
                <w:lang w:val="es-CO"/>
              </w:rPr>
            </w:pPr>
            <w:r>
              <w:rPr>
                <w:rFonts w:ascii="Arial" w:hAnsi="Arial" w:cs="Arial"/>
                <w:sz w:val="22"/>
                <w:szCs w:val="22"/>
                <w:lang w:val="es-CO"/>
              </w:rPr>
              <w:t xml:space="preserve">45 días calendario contados a partir del cumplimiento de los requisitos de perfeccionamiento y ejecución del contrato.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lastRenderedPageBreak/>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842B3F" w:rsidRPr="009D6375" w:rsidRDefault="00F94650" w:rsidP="009D6375">
            <w:pPr>
              <w:pStyle w:val="Prrafodelista"/>
              <w:numPr>
                <w:ilvl w:val="0"/>
                <w:numId w:val="17"/>
              </w:numPr>
              <w:jc w:val="both"/>
              <w:rPr>
                <w:rFonts w:ascii="Arial" w:hAnsi="Arial" w:cs="Arial"/>
                <w:sz w:val="22"/>
                <w:szCs w:val="22"/>
                <w:lang w:val="es-CO"/>
              </w:rPr>
            </w:pPr>
            <w:r>
              <w:rPr>
                <w:rFonts w:ascii="Arial" w:hAnsi="Arial" w:cs="Arial"/>
                <w:sz w:val="22"/>
                <w:szCs w:val="22"/>
                <w:lang w:val="es-CO"/>
              </w:rPr>
              <w:t>Entregar la factura de venta y demás documentos requeridos.</w:t>
            </w:r>
          </w:p>
          <w:p w:rsidR="00842B3F" w:rsidRPr="009D6375" w:rsidRDefault="00F94650" w:rsidP="009D6375">
            <w:pPr>
              <w:pStyle w:val="Prrafodelista"/>
              <w:numPr>
                <w:ilvl w:val="0"/>
                <w:numId w:val="17"/>
              </w:numPr>
              <w:jc w:val="both"/>
              <w:rPr>
                <w:rFonts w:ascii="Arial" w:hAnsi="Arial" w:cs="Arial"/>
                <w:sz w:val="22"/>
                <w:szCs w:val="22"/>
                <w:lang w:val="es-CO"/>
              </w:rPr>
            </w:pPr>
            <w:r>
              <w:rPr>
                <w:rFonts w:ascii="Arial" w:hAnsi="Arial" w:cs="Arial"/>
                <w:sz w:val="22"/>
                <w:szCs w:val="22"/>
                <w:lang w:val="es-CO"/>
              </w:rPr>
              <w:t>Entregar el material de acuerdo a lo contratado.</w:t>
            </w:r>
          </w:p>
          <w:p w:rsidR="00842B3F" w:rsidRPr="009D6375" w:rsidRDefault="00F94650" w:rsidP="009D6375">
            <w:pPr>
              <w:pStyle w:val="Prrafodelista"/>
              <w:numPr>
                <w:ilvl w:val="0"/>
                <w:numId w:val="17"/>
              </w:numPr>
              <w:jc w:val="both"/>
              <w:rPr>
                <w:rFonts w:ascii="Arial" w:hAnsi="Arial" w:cs="Arial"/>
                <w:sz w:val="22"/>
                <w:szCs w:val="22"/>
                <w:lang w:val="es-CO"/>
              </w:rPr>
            </w:pPr>
            <w:r>
              <w:rPr>
                <w:rFonts w:ascii="Arial" w:hAnsi="Arial" w:cs="Arial"/>
                <w:sz w:val="22"/>
                <w:szCs w:val="22"/>
                <w:lang w:val="es-CO"/>
              </w:rPr>
              <w:t>Cumplir los plazos pactados</w:t>
            </w:r>
            <w:r w:rsidR="00842B3F" w:rsidRPr="009D6375">
              <w:rPr>
                <w:rFonts w:ascii="Arial" w:hAnsi="Arial" w:cs="Arial"/>
                <w:sz w:val="22"/>
                <w:szCs w:val="22"/>
                <w:lang w:val="es-CO"/>
              </w:rPr>
              <w:t>.</w:t>
            </w:r>
          </w:p>
          <w:p w:rsidR="00842B3F" w:rsidRPr="00842B3F" w:rsidRDefault="00F94650" w:rsidP="00842B3F">
            <w:pPr>
              <w:pStyle w:val="Prrafodelista"/>
              <w:numPr>
                <w:ilvl w:val="0"/>
                <w:numId w:val="17"/>
              </w:numPr>
              <w:jc w:val="both"/>
              <w:rPr>
                <w:rFonts w:ascii="Arial" w:hAnsi="Arial" w:cs="Arial"/>
                <w:sz w:val="22"/>
                <w:szCs w:val="22"/>
                <w:lang w:val="es-CO"/>
              </w:rPr>
            </w:pPr>
            <w:r>
              <w:rPr>
                <w:rFonts w:ascii="Arial" w:hAnsi="Arial" w:cs="Arial"/>
                <w:sz w:val="22"/>
                <w:szCs w:val="22"/>
                <w:lang w:val="es-CO"/>
              </w:rPr>
              <w:t>Cumplir con la cantidad solicitada</w:t>
            </w:r>
            <w:r w:rsidR="00842B3F" w:rsidRPr="00842B3F">
              <w:rPr>
                <w:rFonts w:ascii="Arial" w:hAnsi="Arial" w:cs="Arial"/>
                <w:sz w:val="22"/>
                <w:szCs w:val="22"/>
                <w:lang w:val="es-CO"/>
              </w:rPr>
              <w:t>.</w:t>
            </w:r>
          </w:p>
          <w:p w:rsidR="00842B3F" w:rsidRPr="00842B3F" w:rsidRDefault="00F94650" w:rsidP="00842B3F">
            <w:pPr>
              <w:pStyle w:val="Prrafodelista"/>
              <w:numPr>
                <w:ilvl w:val="0"/>
                <w:numId w:val="17"/>
              </w:numPr>
              <w:jc w:val="both"/>
              <w:rPr>
                <w:rFonts w:ascii="Arial" w:hAnsi="Arial" w:cs="Arial"/>
                <w:sz w:val="22"/>
                <w:szCs w:val="22"/>
                <w:lang w:val="es-CO"/>
              </w:rPr>
            </w:pPr>
            <w:r>
              <w:rPr>
                <w:rFonts w:ascii="Arial" w:hAnsi="Arial" w:cs="Arial"/>
                <w:sz w:val="22"/>
                <w:szCs w:val="22"/>
                <w:lang w:val="es-CO"/>
              </w:rPr>
              <w:t>Cumplir con las unidades, materiales y calidad de acuerdo al material solicitado</w:t>
            </w:r>
            <w:r w:rsidR="00842B3F" w:rsidRPr="00842B3F">
              <w:rPr>
                <w:rFonts w:ascii="Arial" w:hAnsi="Arial" w:cs="Arial"/>
                <w:sz w:val="22"/>
                <w:szCs w:val="22"/>
                <w:lang w:val="es-CO"/>
              </w:rPr>
              <w:t>.</w:t>
            </w:r>
          </w:p>
          <w:p w:rsidR="00BA6693" w:rsidRPr="007452FA" w:rsidRDefault="00F94650" w:rsidP="00842B3F">
            <w:pPr>
              <w:numPr>
                <w:ilvl w:val="0"/>
                <w:numId w:val="17"/>
              </w:numPr>
              <w:jc w:val="both"/>
              <w:rPr>
                <w:rFonts w:ascii="Arial" w:hAnsi="Arial" w:cs="Arial"/>
                <w:sz w:val="22"/>
                <w:szCs w:val="22"/>
                <w:lang w:val="es-CO"/>
              </w:rPr>
            </w:pPr>
            <w:r>
              <w:rPr>
                <w:rFonts w:ascii="Arial" w:hAnsi="Arial" w:cs="Arial"/>
                <w:sz w:val="22"/>
                <w:szCs w:val="22"/>
                <w:lang w:val="es-CO"/>
              </w:rPr>
              <w:t xml:space="preserve">Garantizar en caso de que una o más unidades defectuosas estas puedan ser devueltas y sean reemplazadas por otro en buen estado, sin costo adicional. </w:t>
            </w:r>
          </w:p>
        </w:tc>
        <w:bookmarkStart w:id="0" w:name="_GoBack"/>
        <w:bookmarkEnd w:id="0"/>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lastRenderedPageBreak/>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97" w:rsidRDefault="00D07897" w:rsidP="0044036E">
      <w:r>
        <w:separator/>
      </w:r>
    </w:p>
  </w:endnote>
  <w:endnote w:type="continuationSeparator" w:id="0">
    <w:p w:rsidR="00D07897" w:rsidRDefault="00D0789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Pr="00014059" w:rsidRDefault="00AB66A2"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AB66A2" w:rsidRPr="00014059" w:rsidRDefault="00AB66A2"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AB66A2" w:rsidRPr="00014059" w:rsidRDefault="00AB66A2" w:rsidP="00447B61">
    <w:pPr>
      <w:jc w:val="center"/>
      <w:rPr>
        <w:rFonts w:ascii="Arial" w:hAnsi="Arial" w:cs="Arial"/>
        <w:sz w:val="16"/>
        <w:szCs w:val="16"/>
      </w:rPr>
    </w:pPr>
    <w:hyperlink r:id="rId1" w:history="1">
      <w:r w:rsidRPr="00E22AA6">
        <w:rPr>
          <w:rStyle w:val="Hipervnculo"/>
          <w:rFonts w:ascii="Arial" w:hAnsi="Arial" w:cs="Arial"/>
          <w:sz w:val="16"/>
          <w:szCs w:val="16"/>
        </w:rPr>
        <w:t>www.ucundinamarca.edu.co</w:t>
      </w:r>
    </w:hyperlink>
    <w:r>
      <w:rPr>
        <w:rFonts w:ascii="Arial" w:hAnsi="Arial" w:cs="Arial"/>
        <w:sz w:val="16"/>
        <w:szCs w:val="16"/>
      </w:rPr>
      <w:t xml:space="preserve"> </w:t>
    </w:r>
    <w:r w:rsidRPr="00014059">
      <w:rPr>
        <w:rFonts w:ascii="Arial" w:hAnsi="Arial" w:cs="Arial"/>
        <w:sz w:val="16"/>
        <w:szCs w:val="16"/>
      </w:rPr>
      <w:t xml:space="preserve">  E-mail: </w:t>
    </w:r>
    <w:hyperlink r:id="rId2" w:history="1">
      <w:r w:rsidRPr="00E22AA6">
        <w:rPr>
          <w:rStyle w:val="Hipervnculo"/>
          <w:rFonts w:ascii="Arial" w:hAnsi="Arial" w:cs="Arial"/>
          <w:sz w:val="16"/>
          <w:szCs w:val="16"/>
        </w:rPr>
        <w:t>info@ucundinamarca.edu.co</w:t>
      </w:r>
    </w:hyperlink>
    <w:r>
      <w:rPr>
        <w:rFonts w:ascii="Arial" w:hAnsi="Arial" w:cs="Arial"/>
        <w:sz w:val="16"/>
        <w:szCs w:val="16"/>
      </w:rPr>
      <w:t xml:space="preserve"> </w:t>
    </w:r>
  </w:p>
  <w:p w:rsidR="00AB66A2" w:rsidRPr="00014059" w:rsidRDefault="00AB66A2"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AB66A2" w:rsidRPr="00014059" w:rsidRDefault="00AB66A2" w:rsidP="00447B61">
    <w:pPr>
      <w:tabs>
        <w:tab w:val="center" w:pos="4419"/>
        <w:tab w:val="right" w:pos="8838"/>
      </w:tabs>
      <w:adjustRightInd w:val="0"/>
      <w:ind w:left="709"/>
      <w:jc w:val="center"/>
      <w:rPr>
        <w:rFonts w:ascii="Arial" w:hAnsi="Arial" w:cs="Arial"/>
        <w:iCs/>
        <w:sz w:val="16"/>
        <w:szCs w:val="16"/>
      </w:rPr>
    </w:pPr>
  </w:p>
  <w:p w:rsidR="00AB66A2" w:rsidRPr="00014059" w:rsidRDefault="00AB66A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AB66A2" w:rsidRPr="00014059" w:rsidRDefault="00AB66A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97" w:rsidRDefault="00D07897" w:rsidP="0044036E">
      <w:r>
        <w:separator/>
      </w:r>
    </w:p>
  </w:footnote>
  <w:footnote w:type="continuationSeparator" w:id="0">
    <w:p w:rsidR="00D07897" w:rsidRDefault="00D07897"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Default="00AB66A2"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AB66A2" w:rsidRPr="00E42895" w:rsidTr="00345E5E">
      <w:trPr>
        <w:trHeight w:val="237"/>
        <w:jc w:val="center"/>
      </w:trPr>
      <w:tc>
        <w:tcPr>
          <w:tcW w:w="1002" w:type="dxa"/>
          <w:vMerge w:val="restart"/>
          <w:vAlign w:val="center"/>
        </w:tcPr>
        <w:p w:rsidR="00AB66A2" w:rsidRPr="00E42895" w:rsidRDefault="00AB66A2"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AB66A2" w:rsidRPr="00EB3B8E" w:rsidRDefault="00AB66A2"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AB66A2" w:rsidRPr="00E42895" w:rsidTr="00345E5E">
      <w:trPr>
        <w:trHeight w:val="235"/>
        <w:jc w:val="center"/>
      </w:trPr>
      <w:tc>
        <w:tcPr>
          <w:tcW w:w="1002" w:type="dxa"/>
          <w:vMerge/>
        </w:tcPr>
        <w:p w:rsidR="00AB66A2" w:rsidRPr="00E42895" w:rsidRDefault="00AB66A2" w:rsidP="00345E5E">
          <w:pPr>
            <w:rPr>
              <w:rFonts w:ascii="Arial" w:hAnsi="Arial" w:cs="Arial"/>
              <w:color w:val="000000"/>
              <w:szCs w:val="16"/>
            </w:rPr>
          </w:pP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AB66A2" w:rsidRPr="00E42895" w:rsidTr="00345E5E">
      <w:trPr>
        <w:trHeight w:val="215"/>
        <w:jc w:val="center"/>
      </w:trPr>
      <w:tc>
        <w:tcPr>
          <w:tcW w:w="1002" w:type="dxa"/>
          <w:vMerge/>
        </w:tcPr>
        <w:p w:rsidR="00AB66A2" w:rsidRPr="00E42895" w:rsidRDefault="00AB66A2" w:rsidP="00345E5E">
          <w:pPr>
            <w:rPr>
              <w:rFonts w:ascii="Arial" w:hAnsi="Arial" w:cs="Arial"/>
              <w:color w:val="000000"/>
              <w:szCs w:val="16"/>
            </w:rPr>
          </w:pPr>
        </w:p>
      </w:tc>
      <w:tc>
        <w:tcPr>
          <w:tcW w:w="4937" w:type="dxa"/>
          <w:vMerge w:val="restart"/>
          <w:shd w:val="clear" w:color="auto" w:fill="auto"/>
          <w:vAlign w:val="center"/>
        </w:tcPr>
        <w:p w:rsidR="00AB66A2" w:rsidRPr="00EB3B8E" w:rsidRDefault="00AB66A2"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AB66A2" w:rsidRPr="00E42895" w:rsidTr="00345E5E">
      <w:trPr>
        <w:trHeight w:val="245"/>
        <w:jc w:val="center"/>
      </w:trPr>
      <w:tc>
        <w:tcPr>
          <w:tcW w:w="1002" w:type="dxa"/>
          <w:vMerge/>
        </w:tcPr>
        <w:p w:rsidR="00AB66A2" w:rsidRPr="00E42895" w:rsidRDefault="00AB66A2" w:rsidP="00345E5E">
          <w:pPr>
            <w:rPr>
              <w:rFonts w:ascii="Arial" w:hAnsi="Arial" w:cs="Arial"/>
              <w:color w:val="000000"/>
              <w:szCs w:val="16"/>
            </w:rPr>
          </w:pPr>
        </w:p>
      </w:tc>
      <w:tc>
        <w:tcPr>
          <w:tcW w:w="4937" w:type="dxa"/>
          <w:vMerge/>
          <w:shd w:val="clear" w:color="auto" w:fill="auto"/>
          <w:vAlign w:val="center"/>
        </w:tcPr>
        <w:p w:rsidR="00AB66A2" w:rsidRPr="00EB3B8E" w:rsidRDefault="00AB66A2" w:rsidP="00345E5E">
          <w:pPr>
            <w:jc w:val="center"/>
            <w:rPr>
              <w:rFonts w:ascii="Arial" w:hAnsi="Arial" w:cs="Arial"/>
              <w:b/>
            </w:rPr>
          </w:pP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0905EC">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0905EC">
            <w:rPr>
              <w:rStyle w:val="Nmerodepgina"/>
              <w:rFonts w:ascii="Arial" w:hAnsi="Arial" w:cs="Arial"/>
              <w:b/>
              <w:noProof/>
            </w:rPr>
            <w:t>5</w:t>
          </w:r>
          <w:r>
            <w:rPr>
              <w:rStyle w:val="Nmerodepgina"/>
              <w:rFonts w:ascii="Arial" w:hAnsi="Arial" w:cs="Arial"/>
              <w:b/>
              <w:noProof/>
            </w:rPr>
            <w:fldChar w:fldCharType="end"/>
          </w:r>
        </w:p>
      </w:tc>
    </w:tr>
  </w:tbl>
  <w:p w:rsidR="00AB66A2" w:rsidRPr="00B40BF9" w:rsidRDefault="00AB66A2"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777B1"/>
    <w:rsid w:val="000905EC"/>
    <w:rsid w:val="000969EB"/>
    <w:rsid w:val="000C3ABF"/>
    <w:rsid w:val="000D5C54"/>
    <w:rsid w:val="000F4315"/>
    <w:rsid w:val="00116C11"/>
    <w:rsid w:val="00123F4D"/>
    <w:rsid w:val="00152E87"/>
    <w:rsid w:val="00154D24"/>
    <w:rsid w:val="00162BAE"/>
    <w:rsid w:val="00166AFA"/>
    <w:rsid w:val="001862AF"/>
    <w:rsid w:val="001C0AC1"/>
    <w:rsid w:val="001C20B7"/>
    <w:rsid w:val="001C2EEA"/>
    <w:rsid w:val="001D19E1"/>
    <w:rsid w:val="00204554"/>
    <w:rsid w:val="00205309"/>
    <w:rsid w:val="0021626A"/>
    <w:rsid w:val="00222086"/>
    <w:rsid w:val="00231107"/>
    <w:rsid w:val="0025575E"/>
    <w:rsid w:val="00285A52"/>
    <w:rsid w:val="00292130"/>
    <w:rsid w:val="00293639"/>
    <w:rsid w:val="002A65E8"/>
    <w:rsid w:val="002A7C97"/>
    <w:rsid w:val="002D7BBC"/>
    <w:rsid w:val="002E4D38"/>
    <w:rsid w:val="00327AC4"/>
    <w:rsid w:val="0033315E"/>
    <w:rsid w:val="003404A3"/>
    <w:rsid w:val="00340A98"/>
    <w:rsid w:val="00345E5E"/>
    <w:rsid w:val="003862EB"/>
    <w:rsid w:val="0038695C"/>
    <w:rsid w:val="003E1A5D"/>
    <w:rsid w:val="003E2FE6"/>
    <w:rsid w:val="003E35EA"/>
    <w:rsid w:val="003E50BC"/>
    <w:rsid w:val="003E6A86"/>
    <w:rsid w:val="00400054"/>
    <w:rsid w:val="0041508E"/>
    <w:rsid w:val="0044036E"/>
    <w:rsid w:val="00442F6B"/>
    <w:rsid w:val="00447B61"/>
    <w:rsid w:val="00470C47"/>
    <w:rsid w:val="00477117"/>
    <w:rsid w:val="004A758B"/>
    <w:rsid w:val="004D73AA"/>
    <w:rsid w:val="004F3DFD"/>
    <w:rsid w:val="004F4228"/>
    <w:rsid w:val="0052022C"/>
    <w:rsid w:val="00524C81"/>
    <w:rsid w:val="00532A49"/>
    <w:rsid w:val="00550144"/>
    <w:rsid w:val="005571FA"/>
    <w:rsid w:val="0059706A"/>
    <w:rsid w:val="005A6779"/>
    <w:rsid w:val="005C4A02"/>
    <w:rsid w:val="005D64F4"/>
    <w:rsid w:val="00605A3F"/>
    <w:rsid w:val="00610723"/>
    <w:rsid w:val="00622EF5"/>
    <w:rsid w:val="006232A8"/>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70000B"/>
    <w:rsid w:val="00711960"/>
    <w:rsid w:val="00727A5C"/>
    <w:rsid w:val="007303C4"/>
    <w:rsid w:val="00730C5B"/>
    <w:rsid w:val="007409BA"/>
    <w:rsid w:val="007452FA"/>
    <w:rsid w:val="00751F8E"/>
    <w:rsid w:val="00777A10"/>
    <w:rsid w:val="00782967"/>
    <w:rsid w:val="00793462"/>
    <w:rsid w:val="007C31B3"/>
    <w:rsid w:val="007C6721"/>
    <w:rsid w:val="007C72D5"/>
    <w:rsid w:val="007D2922"/>
    <w:rsid w:val="007D59C0"/>
    <w:rsid w:val="007D5F28"/>
    <w:rsid w:val="00800720"/>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F03BC"/>
    <w:rsid w:val="00904065"/>
    <w:rsid w:val="009157A9"/>
    <w:rsid w:val="009167AD"/>
    <w:rsid w:val="00917F9B"/>
    <w:rsid w:val="00932BFB"/>
    <w:rsid w:val="00935C0B"/>
    <w:rsid w:val="00936165"/>
    <w:rsid w:val="00936358"/>
    <w:rsid w:val="00953B68"/>
    <w:rsid w:val="0095467C"/>
    <w:rsid w:val="009706EA"/>
    <w:rsid w:val="0097589F"/>
    <w:rsid w:val="0099116A"/>
    <w:rsid w:val="009C56C3"/>
    <w:rsid w:val="009D6375"/>
    <w:rsid w:val="009F2703"/>
    <w:rsid w:val="009F3E98"/>
    <w:rsid w:val="009F4320"/>
    <w:rsid w:val="009F781D"/>
    <w:rsid w:val="00A0608F"/>
    <w:rsid w:val="00A11A5F"/>
    <w:rsid w:val="00A1648E"/>
    <w:rsid w:val="00A23479"/>
    <w:rsid w:val="00A32D88"/>
    <w:rsid w:val="00A638CC"/>
    <w:rsid w:val="00A67113"/>
    <w:rsid w:val="00A71579"/>
    <w:rsid w:val="00A9037C"/>
    <w:rsid w:val="00A978E3"/>
    <w:rsid w:val="00AA4E98"/>
    <w:rsid w:val="00AB0458"/>
    <w:rsid w:val="00AB442E"/>
    <w:rsid w:val="00AB4466"/>
    <w:rsid w:val="00AB66A2"/>
    <w:rsid w:val="00AB7115"/>
    <w:rsid w:val="00AC0636"/>
    <w:rsid w:val="00AD7E67"/>
    <w:rsid w:val="00B03AD8"/>
    <w:rsid w:val="00B15363"/>
    <w:rsid w:val="00B40BF9"/>
    <w:rsid w:val="00B521F0"/>
    <w:rsid w:val="00B5349E"/>
    <w:rsid w:val="00B5639F"/>
    <w:rsid w:val="00B81C47"/>
    <w:rsid w:val="00B9597D"/>
    <w:rsid w:val="00BA2F43"/>
    <w:rsid w:val="00BA6693"/>
    <w:rsid w:val="00BA7ADB"/>
    <w:rsid w:val="00BC002C"/>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E4861"/>
    <w:rsid w:val="00CF17F8"/>
    <w:rsid w:val="00D07897"/>
    <w:rsid w:val="00D31D3D"/>
    <w:rsid w:val="00D51C02"/>
    <w:rsid w:val="00D57751"/>
    <w:rsid w:val="00D741F8"/>
    <w:rsid w:val="00D77A82"/>
    <w:rsid w:val="00D943A3"/>
    <w:rsid w:val="00DA26D1"/>
    <w:rsid w:val="00DA35C9"/>
    <w:rsid w:val="00DA6258"/>
    <w:rsid w:val="00DB5BD5"/>
    <w:rsid w:val="00DB6920"/>
    <w:rsid w:val="00DE377C"/>
    <w:rsid w:val="00DE3C16"/>
    <w:rsid w:val="00DF57AF"/>
    <w:rsid w:val="00DF651D"/>
    <w:rsid w:val="00E12BA1"/>
    <w:rsid w:val="00E153CF"/>
    <w:rsid w:val="00E22FC5"/>
    <w:rsid w:val="00E31CFD"/>
    <w:rsid w:val="00E373C7"/>
    <w:rsid w:val="00E42895"/>
    <w:rsid w:val="00E54660"/>
    <w:rsid w:val="00E547CB"/>
    <w:rsid w:val="00E55AE8"/>
    <w:rsid w:val="00E616D3"/>
    <w:rsid w:val="00E642E2"/>
    <w:rsid w:val="00E64A0B"/>
    <w:rsid w:val="00E6531E"/>
    <w:rsid w:val="00E908EC"/>
    <w:rsid w:val="00E93330"/>
    <w:rsid w:val="00EA3DCA"/>
    <w:rsid w:val="00EB3B8E"/>
    <w:rsid w:val="00EB60A5"/>
    <w:rsid w:val="00ED4FE7"/>
    <w:rsid w:val="00EE26A7"/>
    <w:rsid w:val="00EF61CE"/>
    <w:rsid w:val="00F17F82"/>
    <w:rsid w:val="00F35C91"/>
    <w:rsid w:val="00F94650"/>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78C2D"/>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12993-FB3A-44D1-9CA3-D91BFE44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Pages>
  <Words>1295</Words>
  <Characters>7127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55</cp:revision>
  <cp:lastPrinted>2019-03-07T19:18:00Z</cp:lastPrinted>
  <dcterms:created xsi:type="dcterms:W3CDTF">2019-03-07T19:19:00Z</dcterms:created>
  <dcterms:modified xsi:type="dcterms:W3CDTF">2019-07-08T20:38:00Z</dcterms:modified>
</cp:coreProperties>
</file>