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052F7D">
        <w:rPr>
          <w:rFonts w:ascii="Arial" w:hAnsi="Arial" w:cs="Arial"/>
          <w:sz w:val="22"/>
          <w:lang w:val="es-CO"/>
        </w:rPr>
        <w:t>21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8A15E6">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8A15E6">
              <w:rPr>
                <w:rFonts w:ascii="Arial" w:hAnsi="Arial" w:cs="Arial"/>
                <w:b/>
                <w:sz w:val="22"/>
                <w:szCs w:val="22"/>
                <w:lang w:val="es-CO"/>
              </w:rPr>
              <w:t>26</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8A15E6" w:rsidP="00E06BF9">
            <w:pPr>
              <w:tabs>
                <w:tab w:val="left" w:pos="5640"/>
              </w:tabs>
              <w:jc w:val="both"/>
              <w:rPr>
                <w:rFonts w:ascii="Arial" w:hAnsi="Arial" w:cs="Arial"/>
                <w:sz w:val="22"/>
                <w:szCs w:val="22"/>
                <w:lang w:val="es-CO"/>
              </w:rPr>
            </w:pPr>
            <w:bookmarkStart w:id="0" w:name="_GoBack"/>
            <w:r w:rsidRPr="008A15E6">
              <w:rPr>
                <w:rFonts w:ascii="Arial" w:hAnsi="Arial" w:cs="Arial"/>
                <w:sz w:val="22"/>
                <w:szCs w:val="22"/>
                <w:lang w:val="es-CO"/>
              </w:rPr>
              <w:t>Suministro  de elementos de ferretería, construcción, eléctricos, pintura y carpintería que se requieran para atender las necesidades que en esta materia se presenten de forma preventiva  o correctiva ubicados al interior del Centro Académico Deportivo CAD.</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8A15E6" w:rsidP="008A15E6">
            <w:pPr>
              <w:pStyle w:val="Prrafodelista"/>
              <w:ind w:left="0"/>
              <w:jc w:val="both"/>
              <w:rPr>
                <w:rFonts w:ascii="Arial" w:hAnsi="Arial" w:cs="Arial"/>
                <w:sz w:val="22"/>
                <w:szCs w:val="22"/>
                <w:lang w:val="es-CO"/>
              </w:rPr>
            </w:pPr>
            <w:r w:rsidRPr="008A15E6">
              <w:rPr>
                <w:rFonts w:ascii="Arial" w:hAnsi="Arial" w:cs="Arial"/>
                <w:sz w:val="22"/>
                <w:szCs w:val="22"/>
                <w:lang w:val="es-CO"/>
              </w:rPr>
              <w:t xml:space="preserve">VEINTICINCO MILLONES DE PESOS </w:t>
            </w:r>
            <w:r w:rsidR="00DB5770">
              <w:rPr>
                <w:rFonts w:ascii="Arial" w:hAnsi="Arial" w:cs="Arial"/>
                <w:sz w:val="22"/>
                <w:szCs w:val="22"/>
                <w:lang w:val="es-CO"/>
              </w:rPr>
              <w:t>($</w:t>
            </w:r>
            <w:r>
              <w:rPr>
                <w:rFonts w:ascii="Arial" w:hAnsi="Arial" w:cs="Arial"/>
                <w:sz w:val="22"/>
                <w:szCs w:val="22"/>
                <w:lang w:val="es-CO"/>
              </w:rPr>
              <w:t>25.000.000)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913" w:type="dxa"/>
        <w:jc w:val="center"/>
        <w:tblCellMar>
          <w:left w:w="70" w:type="dxa"/>
          <w:right w:w="70" w:type="dxa"/>
        </w:tblCellMar>
        <w:tblLook w:val="04A0" w:firstRow="1" w:lastRow="0" w:firstColumn="1" w:lastColumn="0" w:noHBand="0" w:noVBand="1"/>
      </w:tblPr>
      <w:tblGrid>
        <w:gridCol w:w="561"/>
        <w:gridCol w:w="1864"/>
        <w:gridCol w:w="842"/>
        <w:gridCol w:w="959"/>
        <w:gridCol w:w="1009"/>
        <w:gridCol w:w="1276"/>
        <w:gridCol w:w="639"/>
        <w:gridCol w:w="1345"/>
        <w:gridCol w:w="1418"/>
      </w:tblGrid>
      <w:tr w:rsidR="009A688C" w:rsidRPr="009A688C" w:rsidTr="00052F7D">
        <w:trPr>
          <w:trHeight w:val="600"/>
          <w:jc w:val="center"/>
        </w:trPr>
        <w:tc>
          <w:tcPr>
            <w:tcW w:w="561" w:type="dxa"/>
            <w:tcBorders>
              <w:top w:val="single" w:sz="8" w:space="0" w:color="auto"/>
              <w:left w:val="single" w:sz="8" w:space="0" w:color="auto"/>
              <w:bottom w:val="nil"/>
              <w:right w:val="nil"/>
            </w:tcBorders>
            <w:shd w:val="clear" w:color="000000" w:fill="375623"/>
            <w:noWrap/>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ítem</w:t>
            </w:r>
          </w:p>
        </w:tc>
        <w:tc>
          <w:tcPr>
            <w:tcW w:w="1864" w:type="dxa"/>
            <w:tcBorders>
              <w:top w:val="single" w:sz="8" w:space="0" w:color="auto"/>
              <w:left w:val="single" w:sz="8" w:space="0" w:color="auto"/>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Elemento</w:t>
            </w:r>
          </w:p>
        </w:tc>
        <w:tc>
          <w:tcPr>
            <w:tcW w:w="842" w:type="dxa"/>
            <w:tcBorders>
              <w:top w:val="single" w:sz="8" w:space="0" w:color="auto"/>
              <w:left w:val="nil"/>
              <w:bottom w:val="nil"/>
              <w:right w:val="nil"/>
            </w:tcBorders>
            <w:shd w:val="clear" w:color="000000" w:fill="375623"/>
            <w:vAlign w:val="bottom"/>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Unidad de Medida</w:t>
            </w:r>
          </w:p>
        </w:tc>
        <w:tc>
          <w:tcPr>
            <w:tcW w:w="959" w:type="dxa"/>
            <w:tcBorders>
              <w:top w:val="single" w:sz="8" w:space="0" w:color="auto"/>
              <w:left w:val="single" w:sz="8" w:space="0" w:color="auto"/>
              <w:bottom w:val="nil"/>
              <w:right w:val="single" w:sz="8" w:space="0" w:color="auto"/>
            </w:tcBorders>
            <w:shd w:val="clear" w:color="000000" w:fill="375623"/>
            <w:noWrap/>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Cantidad</w:t>
            </w:r>
          </w:p>
        </w:tc>
        <w:tc>
          <w:tcPr>
            <w:tcW w:w="1009" w:type="dxa"/>
            <w:tcBorders>
              <w:top w:val="single" w:sz="8" w:space="0" w:color="auto"/>
              <w:left w:val="nil"/>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Valor unitario</w:t>
            </w:r>
          </w:p>
        </w:tc>
        <w:tc>
          <w:tcPr>
            <w:tcW w:w="1276" w:type="dxa"/>
            <w:tcBorders>
              <w:top w:val="single" w:sz="8" w:space="0" w:color="auto"/>
              <w:left w:val="nil"/>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Sub Total</w:t>
            </w:r>
          </w:p>
        </w:tc>
        <w:tc>
          <w:tcPr>
            <w:tcW w:w="639" w:type="dxa"/>
            <w:tcBorders>
              <w:top w:val="single" w:sz="8" w:space="0" w:color="auto"/>
              <w:left w:val="nil"/>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 I.V.A.</w:t>
            </w:r>
          </w:p>
        </w:tc>
        <w:tc>
          <w:tcPr>
            <w:tcW w:w="1345" w:type="dxa"/>
            <w:tcBorders>
              <w:top w:val="single" w:sz="8" w:space="0" w:color="auto"/>
              <w:left w:val="nil"/>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V</w:t>
            </w:r>
            <w:r w:rsidR="00052F7D">
              <w:rPr>
                <w:rFonts w:ascii="Calibri" w:hAnsi="Calibri"/>
                <w:b/>
                <w:bCs/>
                <w:color w:val="FFFFFF"/>
                <w:sz w:val="22"/>
                <w:szCs w:val="22"/>
                <w:lang w:val="es-CO" w:eastAsia="es-CO"/>
              </w:rPr>
              <w:t>alo</w:t>
            </w:r>
            <w:r w:rsidRPr="009A688C">
              <w:rPr>
                <w:rFonts w:ascii="Calibri" w:hAnsi="Calibri"/>
                <w:b/>
                <w:bCs/>
                <w:color w:val="FFFFFF"/>
                <w:sz w:val="22"/>
                <w:szCs w:val="22"/>
                <w:lang w:val="es-CO" w:eastAsia="es-CO"/>
              </w:rPr>
              <w:t>r. I.V.A.</w:t>
            </w:r>
          </w:p>
        </w:tc>
        <w:tc>
          <w:tcPr>
            <w:tcW w:w="1418" w:type="dxa"/>
            <w:tcBorders>
              <w:top w:val="single" w:sz="8" w:space="0" w:color="auto"/>
              <w:left w:val="nil"/>
              <w:bottom w:val="nil"/>
              <w:right w:val="single" w:sz="8" w:space="0" w:color="auto"/>
            </w:tcBorders>
            <w:shd w:val="clear" w:color="000000" w:fill="375623"/>
            <w:vAlign w:val="center"/>
            <w:hideMark/>
          </w:tcPr>
          <w:p w:rsidR="009A688C" w:rsidRPr="009A688C" w:rsidRDefault="009A688C" w:rsidP="009A688C">
            <w:pPr>
              <w:jc w:val="center"/>
              <w:rPr>
                <w:rFonts w:ascii="Calibri" w:hAnsi="Calibri"/>
                <w:b/>
                <w:bCs/>
                <w:color w:val="FFFFFF"/>
                <w:sz w:val="22"/>
                <w:szCs w:val="22"/>
                <w:lang w:val="es-CO" w:eastAsia="es-CO"/>
              </w:rPr>
            </w:pPr>
            <w:r w:rsidRPr="009A688C">
              <w:rPr>
                <w:rFonts w:ascii="Calibri" w:hAnsi="Calibri"/>
                <w:b/>
                <w:bCs/>
                <w:color w:val="FFFFFF"/>
                <w:sz w:val="22"/>
                <w:szCs w:val="22"/>
                <w:lang w:val="es-CO" w:eastAsia="es-CO"/>
              </w:rPr>
              <w:t>Total</w:t>
            </w:r>
          </w:p>
        </w:tc>
      </w:tr>
      <w:tr w:rsidR="009A688C" w:rsidRPr="009A688C" w:rsidTr="00052F7D">
        <w:trPr>
          <w:trHeight w:val="108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Abrazadera metalica para manguera de 1/2 pulgada</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Abrazadera metalica para manguera de 3/4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Adaptador para uso de tubos en PVC de presion en 1/2 pulgada hembra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274"/>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 xml:space="preserve">Adaptador para uso de tubos en PVC de presion en </w:t>
            </w:r>
            <w:r w:rsidRPr="009A688C">
              <w:rPr>
                <w:rFonts w:ascii="Calibri" w:hAnsi="Calibri"/>
                <w:color w:val="000000"/>
                <w:sz w:val="22"/>
                <w:szCs w:val="22"/>
                <w:lang w:val="es-CO" w:eastAsia="es-CO"/>
              </w:rPr>
              <w:lastRenderedPageBreak/>
              <w:t>1/2 pulgada macho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44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Adaptador para uso de tubos en PVC de presion en 1  pulgada macho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4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Adaptador para uso de tubos en PVC de presion en 1 pulgada hembra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Adaptador para uso de tubos en PVC de presion en 2 pulgada hembra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Adaptador para uso de tubos en PVC de presion en 2 pulgada macho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4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Alicate ajustable de 8 pulgadas estandar</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5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Arena de peña por M3</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Arena de Rio semi lavada por M3</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Azadon forma recta para jardineria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Barreton de 270 mm de largo x 60 mm de ancho, nacional de 2 1/2 lb</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1/2</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 </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11/64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13/64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3/16</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13/8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4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5/16</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5/32</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5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7/16</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7/64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lamina y madera de 9/64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4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Tungsteno de 1/4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5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Tungsteno de 1/8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Tungsteno de 5/16</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Tungsteno de 3/8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29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Broca Tungsteno de 5/8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1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Buje para uso de tuberia presion de PVC de 1 1/2 a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31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Buje para uso de tuberia presion de PVC de 1 a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Buje para uso de tuberia presion de PVC de 1 a 3/4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Buje para uso de tuberia presion de PVC de 3/4  a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Cabo de madera para pala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Cabo de madera para pica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35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Cabuya en fibra de poliester y un diametro de 10 mm 3/8 (rollo por 100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Rollo</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Cadenas para seguridad en hierro galvanizadas x Mt.</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Metro</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5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Candado mediano 50</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39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Candado pequeño 30</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 xml:space="preserve">Cemento gris por 50 Kg. </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Bulto</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3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Chapa de pomo cilindrica para puerta de madera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Cincel puntero plano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Cinta para medicion de 50 mts en material plastico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44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Cinta de Teflon de 3/4 de pulgada por 15 mts para uso profesional</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Puntilla acerada de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Libra</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Puntilla acerada de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Libra</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Puntilla acerada de  1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Libra</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Puntilla acerada de 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Libra</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1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49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Codo presion para construccion, en PVC angulo de 90 grados diametro de 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461"/>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Codo presion para construccion, en PVC angulo de 90 grados diametro de 1/2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5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Codo presion para construccion, en PVC angulo de 90 grados diametro de 1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8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Corta vidrios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Destapador de cañerias por Kilogramo con soda ciaustica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estrella 5/16 por 5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55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estrella 5/8 por 8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estrella 3/16 por 4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4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pala 3/16 por 4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5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pala 3/16 por  6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1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59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estrella 3/16 por  6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Destornillador de pala 3/16 por 8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1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Disco para cortar lamina y metal de 4 1/2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Disco para pulir hierro de 4 1/2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Pistola para pintar</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Empaques para pistola de pintar</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Rastrillo plastico de 27 dientes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Espatula metalica con mango plastico de 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Flexometro de 5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68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 xml:space="preserve">Valbula de arbol para sanitario </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Ducha electrica Boccherini 120 w, Victory</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69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Fumigadoras plasticas de 20 lts.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Griferia para lavamanos completa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Hacha de 3 Lbs de peso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Hoja de segueta para cortar hierro No. 18</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Hombresolo de Horca marca reconocida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Hombresolo normal marca reconocida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1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Juego de copas milimetricas por 24 unidades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2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Limas media caña de 1/2 por 6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5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Limas rabo de runcho de 1/2 por 8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Llave sencilla para lavamanos completa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79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Llave de tubo de 12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8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Llave de tubo de 6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6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81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 xml:space="preserve">Llave estilo jardin sin extension fabricada en metal con terminado en cromo tipo estandar de 1/2 pulgada </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Llave expansiva No. 14</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Machete de 18 pulgadas de longitud</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Manguera encauchetada de riego bicolor de 200 psi x 100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Marco para segueta No. 12</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Martillo pata de cabra de 6 Oz</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Mazeta de 5 lbs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87"/>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Pala redonda No. 2</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89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Palustre de 8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Pinzas de punta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Pistola de silicona caliente industrial grande</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Poli sombra de 1.50 mts de alto color verde roolo por 100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Reducciones en PVC de 1 pulgada a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Reducciones en PVC de 2 pulgadas a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95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Registro de corte en PVC  de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Registro de corte en PVC de 1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Registro de corte en PVC de 2 pulgadas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Serrucho de 18 pulgadas de mango plastico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99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Tapon de presion liso de 1 pulgada en PVC</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Tapon de presion roscado de 1 pulgada en PVC</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Te presion de 1 pulgada PVC</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6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Te presion de 1/2 pulgada PVC</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1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Te presion de 2 pulgadas PVC</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Tijera corta tubo PVC marca Stanley</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7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Tubo de agua presion 21 psi de 2 pulgadas por 6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Tubo de agua a presion de 13,5 psi de 1 pulgada por 6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107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Tubo de agua a presion de 9 psi de 1/2  pulgada por 6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3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Tubo de Sikaflex construccion blanco por 300 ml</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5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109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Union de presion en PVC para tubos de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05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Union de presion en PVC para tubos de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88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Union de presion en PVC para tubos de 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6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Universal de presion en PVC  de 1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Universal de presion en PVC  de 1/2 pulgada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40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Funda para machete</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3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115</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Valde negro para construccion</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4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116</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Impermeabilizante blanco pór 10 Kg (Sika 101)</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52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117</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Varilla lisa de 3/4 por 6 mts</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9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118</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Pistola para silicona tubo industrial</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6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119</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Registro sencillo para ducha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9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lastRenderedPageBreak/>
              <w:t>120</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Regadera (pluma) para ducha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267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121</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Escalera de extension de 7 mts, 24 peldaños, fibra de vidrio,136 kg maximo Redline. Que cumpla con las normas ANSIA,propiedades dielectricas 7.10.1 y 7.10.2</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122</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Cuchilla para guadaña tipo pesado certificado</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1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123</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Removedor PVC 12 Oz, preparador de superficies a soldar, limpiador</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72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124</w:t>
            </w:r>
          </w:p>
        </w:tc>
        <w:tc>
          <w:tcPr>
            <w:tcW w:w="1864"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rPr>
                <w:rFonts w:ascii="Calibri" w:hAnsi="Calibri"/>
                <w:color w:val="000000"/>
                <w:sz w:val="22"/>
                <w:szCs w:val="22"/>
                <w:lang w:val="es-CO" w:eastAsia="es-CO"/>
              </w:rPr>
            </w:pPr>
            <w:r w:rsidRPr="009A688C">
              <w:rPr>
                <w:rFonts w:ascii="Calibri" w:hAnsi="Calibri"/>
                <w:color w:val="000000"/>
                <w:sz w:val="22"/>
                <w:szCs w:val="22"/>
                <w:lang w:val="es-CO" w:eastAsia="es-CO"/>
              </w:rPr>
              <w:t>Flotador master para tanque de reserva</w:t>
            </w:r>
          </w:p>
        </w:tc>
        <w:tc>
          <w:tcPr>
            <w:tcW w:w="842" w:type="dxa"/>
            <w:tcBorders>
              <w:top w:val="nil"/>
              <w:left w:val="nil"/>
              <w:bottom w:val="single" w:sz="4" w:space="0" w:color="auto"/>
              <w:right w:val="single" w:sz="4" w:space="0" w:color="auto"/>
            </w:tcBorders>
            <w:shd w:val="clear" w:color="auto" w:fill="auto"/>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Unidad</w:t>
            </w:r>
          </w:p>
        </w:tc>
        <w:tc>
          <w:tcPr>
            <w:tcW w:w="95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1</w:t>
            </w:r>
          </w:p>
        </w:tc>
        <w:tc>
          <w:tcPr>
            <w:tcW w:w="100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639"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345"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rsidR="009A688C" w:rsidRPr="009A688C" w:rsidRDefault="009A688C" w:rsidP="009A688C">
            <w:pPr>
              <w:jc w:val="center"/>
              <w:rPr>
                <w:rFonts w:ascii="Calibri" w:hAnsi="Calibri"/>
                <w:color w:val="000000"/>
                <w:sz w:val="22"/>
                <w:szCs w:val="22"/>
                <w:lang w:val="es-CO" w:eastAsia="es-CO"/>
              </w:rPr>
            </w:pPr>
            <w:r w:rsidRPr="009A688C">
              <w:rPr>
                <w:rFonts w:ascii="Calibri" w:hAnsi="Calibri"/>
                <w:color w:val="000000"/>
                <w:sz w:val="22"/>
                <w:szCs w:val="22"/>
                <w:lang w:val="es-CO" w:eastAsia="es-CO"/>
              </w:rPr>
              <w:t> </w:t>
            </w:r>
          </w:p>
        </w:tc>
      </w:tr>
      <w:tr w:rsidR="009A688C" w:rsidRPr="009A688C" w:rsidTr="00052F7D">
        <w:trPr>
          <w:trHeight w:val="300"/>
          <w:jc w:val="center"/>
        </w:trPr>
        <w:tc>
          <w:tcPr>
            <w:tcW w:w="8495"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9A688C" w:rsidRPr="009A688C" w:rsidRDefault="009A688C" w:rsidP="009A688C">
            <w:pPr>
              <w:jc w:val="right"/>
              <w:rPr>
                <w:rFonts w:ascii="Calibri" w:hAnsi="Calibri"/>
                <w:b/>
                <w:bCs/>
                <w:color w:val="000000"/>
                <w:sz w:val="22"/>
                <w:szCs w:val="22"/>
                <w:lang w:val="es-CO" w:eastAsia="es-CO"/>
              </w:rPr>
            </w:pPr>
            <w:r w:rsidRPr="009A688C">
              <w:rPr>
                <w:rFonts w:ascii="Calibri" w:hAnsi="Calibri"/>
                <w:b/>
                <w:bCs/>
                <w:color w:val="000000"/>
                <w:sz w:val="22"/>
                <w:szCs w:val="22"/>
                <w:lang w:val="es-CO" w:eastAsia="es-CO"/>
              </w:rPr>
              <w:t>SUBTOTAL</w:t>
            </w:r>
          </w:p>
        </w:tc>
        <w:tc>
          <w:tcPr>
            <w:tcW w:w="1418" w:type="dxa"/>
            <w:tcBorders>
              <w:top w:val="nil"/>
              <w:left w:val="nil"/>
              <w:bottom w:val="single" w:sz="4" w:space="0" w:color="auto"/>
              <w:right w:val="single" w:sz="4" w:space="0" w:color="auto"/>
            </w:tcBorders>
            <w:shd w:val="clear" w:color="auto" w:fill="auto"/>
            <w:vAlign w:val="bottom"/>
            <w:hideMark/>
          </w:tcPr>
          <w:p w:rsidR="009A688C" w:rsidRPr="009A688C" w:rsidRDefault="009A688C" w:rsidP="009A688C">
            <w:pPr>
              <w:rPr>
                <w:rFonts w:ascii="Calibri" w:hAnsi="Calibri"/>
                <w:b/>
                <w:bCs/>
                <w:color w:val="000000"/>
                <w:sz w:val="22"/>
                <w:szCs w:val="22"/>
                <w:lang w:val="es-CO" w:eastAsia="es-CO"/>
              </w:rPr>
            </w:pPr>
            <w:r w:rsidRPr="009A688C">
              <w:rPr>
                <w:rFonts w:ascii="Calibri" w:hAnsi="Calibri"/>
                <w:b/>
                <w:bCs/>
                <w:color w:val="000000"/>
                <w:sz w:val="22"/>
                <w:szCs w:val="22"/>
                <w:lang w:val="es-CO" w:eastAsia="es-CO"/>
              </w:rPr>
              <w:t> </w:t>
            </w:r>
          </w:p>
        </w:tc>
      </w:tr>
      <w:tr w:rsidR="009A688C" w:rsidRPr="009A688C" w:rsidTr="00052F7D">
        <w:trPr>
          <w:trHeight w:val="300"/>
          <w:jc w:val="center"/>
        </w:trPr>
        <w:tc>
          <w:tcPr>
            <w:tcW w:w="849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688C" w:rsidRPr="009A688C" w:rsidRDefault="009A688C" w:rsidP="009A688C">
            <w:pPr>
              <w:jc w:val="right"/>
              <w:rPr>
                <w:rFonts w:ascii="Calibri" w:hAnsi="Calibri"/>
                <w:b/>
                <w:bCs/>
                <w:color w:val="000000"/>
                <w:sz w:val="22"/>
                <w:szCs w:val="22"/>
                <w:lang w:val="es-CO" w:eastAsia="es-CO"/>
              </w:rPr>
            </w:pPr>
            <w:r w:rsidRPr="009A688C">
              <w:rPr>
                <w:rFonts w:ascii="Calibri" w:hAnsi="Calibri"/>
                <w:b/>
                <w:bCs/>
                <w:color w:val="000000"/>
                <w:sz w:val="22"/>
                <w:szCs w:val="22"/>
                <w:lang w:val="es-CO" w:eastAsia="es-CO"/>
              </w:rPr>
              <w:t>IVA __ %</w:t>
            </w:r>
          </w:p>
        </w:tc>
        <w:tc>
          <w:tcPr>
            <w:tcW w:w="1418" w:type="dxa"/>
            <w:tcBorders>
              <w:top w:val="nil"/>
              <w:left w:val="nil"/>
              <w:bottom w:val="single" w:sz="4" w:space="0" w:color="auto"/>
              <w:right w:val="single" w:sz="4" w:space="0" w:color="auto"/>
            </w:tcBorders>
            <w:shd w:val="clear" w:color="auto" w:fill="auto"/>
            <w:noWrap/>
            <w:vAlign w:val="bottom"/>
            <w:hideMark/>
          </w:tcPr>
          <w:p w:rsidR="009A688C" w:rsidRPr="009A688C" w:rsidRDefault="009A688C" w:rsidP="009A688C">
            <w:pPr>
              <w:rPr>
                <w:rFonts w:ascii="Calibri" w:hAnsi="Calibri"/>
                <w:b/>
                <w:bCs/>
                <w:color w:val="000000"/>
                <w:sz w:val="22"/>
                <w:szCs w:val="22"/>
                <w:lang w:val="es-CO" w:eastAsia="es-CO"/>
              </w:rPr>
            </w:pPr>
            <w:r w:rsidRPr="009A688C">
              <w:rPr>
                <w:rFonts w:ascii="Calibri" w:hAnsi="Calibri"/>
                <w:b/>
                <w:bCs/>
                <w:color w:val="000000"/>
                <w:sz w:val="22"/>
                <w:szCs w:val="22"/>
                <w:lang w:val="es-CO" w:eastAsia="es-CO"/>
              </w:rPr>
              <w:t> </w:t>
            </w:r>
          </w:p>
        </w:tc>
      </w:tr>
      <w:tr w:rsidR="009A688C" w:rsidRPr="009A688C" w:rsidTr="00052F7D">
        <w:trPr>
          <w:trHeight w:val="300"/>
          <w:jc w:val="center"/>
        </w:trPr>
        <w:tc>
          <w:tcPr>
            <w:tcW w:w="849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A688C" w:rsidRPr="009A688C" w:rsidRDefault="009A688C" w:rsidP="009A688C">
            <w:pPr>
              <w:jc w:val="right"/>
              <w:rPr>
                <w:rFonts w:ascii="Calibri" w:hAnsi="Calibri"/>
                <w:b/>
                <w:bCs/>
                <w:color w:val="000000"/>
                <w:sz w:val="22"/>
                <w:szCs w:val="22"/>
                <w:lang w:val="es-CO" w:eastAsia="es-CO"/>
              </w:rPr>
            </w:pPr>
            <w:r w:rsidRPr="009A688C">
              <w:rPr>
                <w:rFonts w:ascii="Calibri" w:hAnsi="Calibri"/>
                <w:b/>
                <w:bCs/>
                <w:color w:val="000000"/>
                <w:sz w:val="22"/>
                <w:szCs w:val="22"/>
                <w:lang w:val="es-CO" w:eastAsia="es-CO"/>
              </w:rPr>
              <w:t>VALOR TOTAL</w:t>
            </w:r>
          </w:p>
        </w:tc>
        <w:tc>
          <w:tcPr>
            <w:tcW w:w="1418" w:type="dxa"/>
            <w:tcBorders>
              <w:top w:val="nil"/>
              <w:left w:val="nil"/>
              <w:bottom w:val="single" w:sz="4" w:space="0" w:color="auto"/>
              <w:right w:val="single" w:sz="4" w:space="0" w:color="auto"/>
            </w:tcBorders>
            <w:shd w:val="clear" w:color="auto" w:fill="auto"/>
            <w:noWrap/>
            <w:vAlign w:val="bottom"/>
            <w:hideMark/>
          </w:tcPr>
          <w:p w:rsidR="009A688C" w:rsidRPr="009A688C" w:rsidRDefault="009A688C" w:rsidP="009A688C">
            <w:pPr>
              <w:rPr>
                <w:rFonts w:ascii="Calibri" w:hAnsi="Calibri"/>
                <w:b/>
                <w:bCs/>
                <w:color w:val="000000"/>
                <w:sz w:val="22"/>
                <w:szCs w:val="22"/>
                <w:lang w:val="es-CO" w:eastAsia="es-CO"/>
              </w:rPr>
            </w:pPr>
            <w:r w:rsidRPr="009A688C">
              <w:rPr>
                <w:rFonts w:ascii="Calibri" w:hAnsi="Calibri"/>
                <w:b/>
                <w:bCs/>
                <w:color w:val="000000"/>
                <w:sz w:val="22"/>
                <w:szCs w:val="22"/>
                <w:lang w:val="es-CO" w:eastAsia="es-CO"/>
              </w:rPr>
              <w:t> </w:t>
            </w: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BA6693" w:rsidP="00BB19AA">
            <w:pPr>
              <w:tabs>
                <w:tab w:val="left" w:pos="3784"/>
                <w:tab w:val="center" w:pos="3999"/>
              </w:tabs>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8A15E6" w:rsidP="00FF0DF0">
            <w:pPr>
              <w:jc w:val="both"/>
              <w:rPr>
                <w:rFonts w:ascii="Arial" w:hAnsi="Arial" w:cs="Arial"/>
                <w:sz w:val="22"/>
                <w:szCs w:val="22"/>
                <w:lang w:val="es-CO"/>
              </w:rPr>
            </w:pPr>
            <w:r>
              <w:rPr>
                <w:rFonts w:ascii="Arial" w:hAnsi="Arial" w:cs="Arial"/>
                <w:sz w:val="22"/>
                <w:szCs w:val="22"/>
                <w:lang w:val="es-CO"/>
              </w:rPr>
              <w:t>Univ</w:t>
            </w:r>
            <w:r w:rsidRPr="008A15E6">
              <w:rPr>
                <w:rFonts w:ascii="Arial" w:hAnsi="Arial" w:cs="Arial"/>
                <w:sz w:val="22"/>
                <w:szCs w:val="22"/>
                <w:lang w:val="es-CO"/>
              </w:rPr>
              <w:t>ersidad de Cundinamarca, sede Fusagasugá, Centro Académico Deportivo de la Universidad de Cundinamarca CAD</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A15E6" w:rsidP="001C711D">
            <w:pPr>
              <w:jc w:val="both"/>
              <w:rPr>
                <w:rFonts w:ascii="Arial" w:hAnsi="Arial" w:cs="Arial"/>
                <w:sz w:val="22"/>
                <w:szCs w:val="22"/>
                <w:lang w:val="es-CO"/>
              </w:rPr>
            </w:pPr>
            <w:r w:rsidRPr="008A15E6">
              <w:rPr>
                <w:rFonts w:ascii="Arial" w:hAnsi="Arial" w:cs="Arial"/>
                <w:sz w:val="22"/>
                <w:szCs w:val="22"/>
                <w:lang w:val="es-CO"/>
              </w:rPr>
              <w:t xml:space="preserve">Cinco meses a partir del cumplimiento de los requisitos legales y el perfeccionamiento del contrato o hasta agotar los recursos asignados.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8A15E6" w:rsidRPr="008A15E6"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t>Estructurar el cronograma de entregas con el supervisor y garantizar la entrega puntual de los requerimientos programados.</w:t>
            </w:r>
          </w:p>
          <w:p w:rsidR="008A15E6" w:rsidRPr="008A15E6"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t xml:space="preserve">Hacer entrega oportuna de los materiales de acuerdo a los requerimientos </w:t>
            </w:r>
            <w:r>
              <w:rPr>
                <w:rFonts w:ascii="Arial" w:hAnsi="Arial" w:cs="Arial"/>
                <w:sz w:val="22"/>
                <w:szCs w:val="22"/>
                <w:lang w:val="es-CO"/>
              </w:rPr>
              <w:t>h</w:t>
            </w:r>
            <w:r w:rsidRPr="008A15E6">
              <w:rPr>
                <w:rFonts w:ascii="Arial" w:hAnsi="Arial" w:cs="Arial"/>
                <w:sz w:val="22"/>
                <w:szCs w:val="22"/>
                <w:lang w:val="es-CO"/>
              </w:rPr>
              <w:t>echos por el supervisor del contrato.</w:t>
            </w:r>
          </w:p>
          <w:p w:rsidR="008A15E6" w:rsidRPr="008A15E6"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t>Asumir los costos del trasporte y almacenamiento de los materiales hasta el momento de hacer entrega al supervisor del contrato.</w:t>
            </w:r>
          </w:p>
          <w:p w:rsidR="008A15E6" w:rsidRPr="008A15E6"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t>Garantizar la entrega de los materiales solicitados de acuerdo a las características técnicas y de calidad contratadas</w:t>
            </w:r>
          </w:p>
          <w:p w:rsidR="008A15E6" w:rsidRPr="008A15E6"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t>Garantizar la sustitución de los materiales que no cumplan con lo solicitado o que presenten malas condiciones de calidad.</w:t>
            </w:r>
          </w:p>
          <w:p w:rsidR="00BA6693" w:rsidRPr="009A0229" w:rsidRDefault="008A15E6" w:rsidP="008A15E6">
            <w:pPr>
              <w:pStyle w:val="Prrafodelista"/>
              <w:numPr>
                <w:ilvl w:val="0"/>
                <w:numId w:val="16"/>
              </w:numPr>
              <w:jc w:val="both"/>
              <w:rPr>
                <w:rFonts w:ascii="Arial" w:hAnsi="Arial" w:cs="Arial"/>
                <w:sz w:val="22"/>
                <w:szCs w:val="22"/>
                <w:lang w:val="es-CO"/>
              </w:rPr>
            </w:pPr>
            <w:r w:rsidRPr="008A15E6">
              <w:rPr>
                <w:rFonts w:ascii="Arial" w:hAnsi="Arial" w:cs="Arial"/>
                <w:sz w:val="22"/>
                <w:szCs w:val="22"/>
                <w:lang w:val="es-CO"/>
              </w:rPr>
              <w:lastRenderedPageBreak/>
              <w:t>Realizar la facturación y el diligenciamiento de los pagos parciales según lo acordado con el supervisor.</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8A15E6" w:rsidP="0055256D">
            <w:pPr>
              <w:jc w:val="center"/>
              <w:rPr>
                <w:rFonts w:ascii="Arial" w:hAnsi="Arial" w:cs="Arial"/>
                <w:sz w:val="22"/>
                <w:szCs w:val="22"/>
                <w:lang w:val="es-CO"/>
              </w:rPr>
            </w:pPr>
            <w:r>
              <w:rPr>
                <w:rFonts w:ascii="Arial" w:hAnsi="Arial" w:cs="Arial"/>
                <w:sz w:val="22"/>
                <w:szCs w:val="22"/>
                <w:lang w:val="es-CO"/>
              </w:rPr>
              <w:t xml:space="preserve">Pagos mensuales de acuerdo a </w:t>
            </w:r>
            <w:r w:rsidR="0055256D">
              <w:rPr>
                <w:rFonts w:ascii="Arial" w:hAnsi="Arial" w:cs="Arial"/>
                <w:sz w:val="22"/>
                <w:szCs w:val="22"/>
                <w:lang w:val="es-CO"/>
              </w:rPr>
              <w:t>los bienes debidamente suministrados.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9A688C">
      <w:headerReference w:type="default" r:id="rId8"/>
      <w:footerReference w:type="default" r:id="rId9"/>
      <w:pgSz w:w="12240" w:h="15840"/>
      <w:pgMar w:top="2268" w:right="1701" w:bottom="1701" w:left="2127"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8C" w:rsidRDefault="009A688C" w:rsidP="0044036E">
      <w:r>
        <w:separator/>
      </w:r>
    </w:p>
  </w:endnote>
  <w:endnote w:type="continuationSeparator" w:id="0">
    <w:p w:rsidR="009A688C" w:rsidRDefault="009A688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8C" w:rsidRPr="00014059" w:rsidRDefault="009A688C"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9A688C" w:rsidRPr="00014059" w:rsidRDefault="009A688C"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9A688C" w:rsidRPr="00014059" w:rsidRDefault="009A688C"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9A688C" w:rsidRPr="00014059" w:rsidRDefault="009A688C"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9A688C" w:rsidRPr="00014059" w:rsidRDefault="009A688C" w:rsidP="00447B61">
    <w:pPr>
      <w:tabs>
        <w:tab w:val="center" w:pos="4419"/>
        <w:tab w:val="right" w:pos="8838"/>
      </w:tabs>
      <w:adjustRightInd w:val="0"/>
      <w:ind w:left="709"/>
      <w:jc w:val="center"/>
      <w:rPr>
        <w:rFonts w:ascii="Arial" w:hAnsi="Arial" w:cs="Arial"/>
        <w:iCs/>
        <w:sz w:val="16"/>
        <w:szCs w:val="16"/>
      </w:rPr>
    </w:pPr>
  </w:p>
  <w:p w:rsidR="009A688C" w:rsidRPr="00014059" w:rsidRDefault="009A688C"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9A688C" w:rsidRPr="00014059" w:rsidRDefault="009A688C"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8C" w:rsidRDefault="009A688C" w:rsidP="0044036E">
      <w:r>
        <w:separator/>
      </w:r>
    </w:p>
  </w:footnote>
  <w:footnote w:type="continuationSeparator" w:id="0">
    <w:p w:rsidR="009A688C" w:rsidRDefault="009A688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8C" w:rsidRDefault="009A688C"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9A688C" w:rsidRPr="00E42895" w:rsidTr="00FA0C3F">
      <w:trPr>
        <w:trHeight w:val="237"/>
        <w:jc w:val="center"/>
      </w:trPr>
      <w:tc>
        <w:tcPr>
          <w:tcW w:w="1002" w:type="dxa"/>
          <w:vMerge w:val="restart"/>
          <w:vAlign w:val="center"/>
        </w:tcPr>
        <w:p w:rsidR="009A688C" w:rsidRPr="00E42895" w:rsidRDefault="009A688C"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7" name="Imagen 7"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9A688C" w:rsidRPr="00EB3B8E" w:rsidRDefault="009A688C"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9A688C" w:rsidRPr="00EB3B8E" w:rsidRDefault="009A688C"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9A688C" w:rsidRPr="00E42895" w:rsidTr="00FA0C3F">
      <w:trPr>
        <w:trHeight w:val="235"/>
        <w:jc w:val="center"/>
      </w:trPr>
      <w:tc>
        <w:tcPr>
          <w:tcW w:w="1002" w:type="dxa"/>
          <w:vMerge/>
        </w:tcPr>
        <w:p w:rsidR="009A688C" w:rsidRPr="00E42895" w:rsidRDefault="009A688C" w:rsidP="00FA0C3F">
          <w:pPr>
            <w:rPr>
              <w:rFonts w:ascii="Arial" w:hAnsi="Arial" w:cs="Arial"/>
              <w:color w:val="000000"/>
              <w:szCs w:val="16"/>
            </w:rPr>
          </w:pPr>
        </w:p>
      </w:tc>
      <w:tc>
        <w:tcPr>
          <w:tcW w:w="4937" w:type="dxa"/>
          <w:shd w:val="clear" w:color="auto" w:fill="auto"/>
          <w:vAlign w:val="center"/>
        </w:tcPr>
        <w:p w:rsidR="009A688C" w:rsidRPr="00EB3B8E" w:rsidRDefault="009A688C"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9A688C" w:rsidRPr="00EB3B8E" w:rsidRDefault="009A688C"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9A688C" w:rsidRPr="00E42895" w:rsidTr="00FA0C3F">
      <w:trPr>
        <w:trHeight w:val="215"/>
        <w:jc w:val="center"/>
      </w:trPr>
      <w:tc>
        <w:tcPr>
          <w:tcW w:w="1002" w:type="dxa"/>
          <w:vMerge/>
        </w:tcPr>
        <w:p w:rsidR="009A688C" w:rsidRPr="00E42895" w:rsidRDefault="009A688C" w:rsidP="00FA0C3F">
          <w:pPr>
            <w:rPr>
              <w:rFonts w:ascii="Arial" w:hAnsi="Arial" w:cs="Arial"/>
              <w:color w:val="000000"/>
              <w:szCs w:val="16"/>
            </w:rPr>
          </w:pPr>
        </w:p>
      </w:tc>
      <w:tc>
        <w:tcPr>
          <w:tcW w:w="4937" w:type="dxa"/>
          <w:vMerge w:val="restart"/>
          <w:shd w:val="clear" w:color="auto" w:fill="auto"/>
          <w:vAlign w:val="center"/>
        </w:tcPr>
        <w:p w:rsidR="009A688C" w:rsidRPr="00EB3B8E" w:rsidRDefault="009A688C"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9A688C" w:rsidRPr="00EB3B8E" w:rsidRDefault="009A688C"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9A688C" w:rsidRPr="00E42895" w:rsidTr="00FA0C3F">
      <w:trPr>
        <w:trHeight w:val="245"/>
        <w:jc w:val="center"/>
      </w:trPr>
      <w:tc>
        <w:tcPr>
          <w:tcW w:w="1002" w:type="dxa"/>
          <w:vMerge/>
        </w:tcPr>
        <w:p w:rsidR="009A688C" w:rsidRPr="00E42895" w:rsidRDefault="009A688C" w:rsidP="00FA0C3F">
          <w:pPr>
            <w:rPr>
              <w:rFonts w:ascii="Arial" w:hAnsi="Arial" w:cs="Arial"/>
              <w:color w:val="000000"/>
              <w:szCs w:val="16"/>
            </w:rPr>
          </w:pPr>
        </w:p>
      </w:tc>
      <w:tc>
        <w:tcPr>
          <w:tcW w:w="4937" w:type="dxa"/>
          <w:vMerge/>
          <w:shd w:val="clear" w:color="auto" w:fill="auto"/>
          <w:vAlign w:val="center"/>
        </w:tcPr>
        <w:p w:rsidR="009A688C" w:rsidRPr="00EB3B8E" w:rsidRDefault="009A688C" w:rsidP="00FA0C3F">
          <w:pPr>
            <w:jc w:val="center"/>
            <w:rPr>
              <w:rFonts w:ascii="Arial" w:hAnsi="Arial" w:cs="Arial"/>
              <w:b/>
            </w:rPr>
          </w:pPr>
        </w:p>
      </w:tc>
      <w:tc>
        <w:tcPr>
          <w:tcW w:w="2434" w:type="dxa"/>
          <w:vAlign w:val="center"/>
        </w:tcPr>
        <w:p w:rsidR="009A688C" w:rsidRPr="00EB3B8E" w:rsidRDefault="009A688C"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52F7D">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52F7D">
            <w:rPr>
              <w:rStyle w:val="Nmerodepgina"/>
              <w:rFonts w:ascii="Arial" w:hAnsi="Arial" w:cs="Arial"/>
              <w:b/>
              <w:noProof/>
            </w:rPr>
            <w:t>14</w:t>
          </w:r>
          <w:r>
            <w:rPr>
              <w:rStyle w:val="Nmerodepgina"/>
              <w:rFonts w:ascii="Arial" w:hAnsi="Arial" w:cs="Arial"/>
              <w:b/>
              <w:noProof/>
            </w:rPr>
            <w:fldChar w:fldCharType="end"/>
          </w:r>
        </w:p>
      </w:tc>
    </w:tr>
  </w:tbl>
  <w:p w:rsidR="009A688C" w:rsidRPr="00B40BF9" w:rsidRDefault="009A688C"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52F7D"/>
    <w:rsid w:val="000969EB"/>
    <w:rsid w:val="000A2328"/>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5256D"/>
    <w:rsid w:val="00566C9B"/>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65F1A"/>
    <w:rsid w:val="008716EB"/>
    <w:rsid w:val="008728D2"/>
    <w:rsid w:val="00880382"/>
    <w:rsid w:val="0089161F"/>
    <w:rsid w:val="008A15E6"/>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A0229"/>
    <w:rsid w:val="009A688C"/>
    <w:rsid w:val="009B1266"/>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875268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61D0-2324-4B63-8EA3-2492B72D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2464</Words>
  <Characters>13555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2019-06-21T16:30:00Z</dcterms:created>
  <dcterms:modified xsi:type="dcterms:W3CDTF">2019-06-21T16:30:00Z</dcterms:modified>
</cp:coreProperties>
</file>