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03033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B4729B">
        <w:rPr>
          <w:rFonts w:ascii="Arial" w:hAnsi="Arial" w:cs="Arial"/>
          <w:sz w:val="22"/>
          <w:szCs w:val="24"/>
        </w:rPr>
        <w:t>21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B4729B" w:rsidRPr="00B4729B">
        <w:rPr>
          <w:rFonts w:ascii="Arial" w:hAnsi="Arial" w:cs="Arial"/>
          <w:b/>
          <w:sz w:val="22"/>
          <w:szCs w:val="22"/>
        </w:rPr>
        <w:t>Suministro  de elementos de ferretería, construcción, eléctricos, pintura y carpintería que se requieran para atender las necesidades que en esta materia se presenten de forma preventiva  o correctiva ubicados al interior del Centro Académico Deportivo CAD.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B4729B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4729B"/>
    <w:rsid w:val="00B5071A"/>
    <w:rsid w:val="00B5349E"/>
    <w:rsid w:val="00B62129"/>
    <w:rsid w:val="00B634D0"/>
    <w:rsid w:val="00B71180"/>
    <w:rsid w:val="00B8235B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2B75-5088-4BB4-8A96-35F01655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2019-06-21T16:31:00Z</dcterms:created>
  <dcterms:modified xsi:type="dcterms:W3CDTF">2019-06-21T16:31:00Z</dcterms:modified>
</cp:coreProperties>
</file>