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FC32F1">
        <w:rPr>
          <w:rFonts w:ascii="Arial" w:hAnsi="Arial" w:cs="Arial"/>
          <w:sz w:val="22"/>
          <w:szCs w:val="24"/>
        </w:rPr>
        <w:t>3</w:t>
      </w:r>
      <w:r w:rsidR="0067346E">
        <w:rPr>
          <w:rFonts w:ascii="Arial" w:hAnsi="Arial" w:cs="Arial"/>
          <w:sz w:val="22"/>
          <w:szCs w:val="24"/>
        </w:rPr>
        <w:t>-</w:t>
      </w:r>
      <w:r w:rsidR="00B177BD">
        <w:rPr>
          <w:rFonts w:ascii="Arial" w:hAnsi="Arial" w:cs="Arial"/>
          <w:sz w:val="22"/>
          <w:szCs w:val="24"/>
        </w:rPr>
        <w:t>05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Universidad  de Cundinamarca </w:t>
      </w:r>
      <w:r w:rsidR="00B275D5">
        <w:rPr>
          <w:rFonts w:ascii="Arial" w:hAnsi="Arial" w:cs="Arial"/>
          <w:color w:val="000000"/>
          <w:sz w:val="22"/>
          <w:szCs w:val="22"/>
        </w:rPr>
        <w:t>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de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 contratar el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EE08F2" w:rsidRPr="00941ABA">
        <w:rPr>
          <w:rFonts w:ascii="Arial" w:hAnsi="Arial" w:cs="Arial"/>
          <w:sz w:val="22"/>
          <w:szCs w:val="22"/>
          <w:shd w:val="clear" w:color="auto" w:fill="FFFFFF"/>
        </w:rPr>
        <w:t>Servicio de lavado y planchado para las prendas usadas en ceremonias y actividades académicas del programa de Enfermería, en la Universidad de Cundinamarca Seccional Girardot, para la vigencia 2019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75D5">
        <w:rPr>
          <w:rFonts w:ascii="Arial" w:hAnsi="Arial" w:cs="Arial"/>
          <w:color w:val="000000"/>
          <w:sz w:val="22"/>
          <w:szCs w:val="22"/>
        </w:rPr>
        <w:t> por lo cual, solicita la c</w:t>
      </w:r>
      <w:r w:rsidRPr="00CF2199">
        <w:rPr>
          <w:rFonts w:ascii="Arial" w:hAnsi="Arial" w:cs="Arial"/>
          <w:color w:val="000000"/>
          <w:sz w:val="22"/>
          <w:szCs w:val="22"/>
        </w:rPr>
        <w:t>otización que adjunta a este e-mail.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nombre del Dr. 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Juan Carlos Méndez 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r w:rsidR="00B275D5"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), dentro de las fechas y horarios establecidos, incluyendo la totalidad de los ítems solicitados, en papel membretado de su organización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 y firmada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electrónico institucional de compras 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de la Seccional Girardot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history="1">
        <w:r w:rsidR="00335FE0" w:rsidRPr="009B20F9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</w:t>
      </w:r>
      <w:r w:rsidR="00335FE0">
        <w:rPr>
          <w:rFonts w:ascii="Arial" w:hAnsi="Arial" w:cs="Arial"/>
          <w:color w:val="000000"/>
          <w:sz w:val="22"/>
          <w:szCs w:val="22"/>
        </w:rPr>
        <w:t xml:space="preserve"> y operaciones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aritmétic</w:t>
      </w:r>
      <w:r w:rsidR="00335FE0">
        <w:rPr>
          <w:rFonts w:ascii="Arial" w:hAnsi="Arial" w:cs="Arial"/>
          <w:color w:val="000000"/>
          <w:sz w:val="22"/>
          <w:szCs w:val="22"/>
        </w:rPr>
        <w:t>a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07399C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lastRenderedPageBreak/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07399C" w:rsidRPr="00CF2199" w:rsidRDefault="0007399C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F60334">
        <w:rPr>
          <w:rFonts w:ascii="Arial" w:hAnsi="Arial" w:cs="Arial"/>
          <w:sz w:val="22"/>
          <w:szCs w:val="22"/>
          <w:lang w:val="es-CO"/>
        </w:rPr>
        <w:t>El valor a ofertar es unitario. La sumatoria de los valores unitarios es la que define el menor valor total ofertado</w:t>
      </w:r>
      <w:r>
        <w:rPr>
          <w:rFonts w:ascii="Arial" w:hAnsi="Arial" w:cs="Arial"/>
          <w:sz w:val="22"/>
          <w:szCs w:val="22"/>
          <w:lang w:val="es-CO"/>
        </w:rPr>
        <w:t xml:space="preserve">, </w:t>
      </w:r>
      <w:r w:rsidRPr="00C669AD">
        <w:rPr>
          <w:rFonts w:ascii="Arial" w:hAnsi="Arial" w:cs="Arial"/>
          <w:sz w:val="22"/>
          <w:szCs w:val="22"/>
          <w:lang w:val="es-CO"/>
        </w:rPr>
        <w:t>se evaluaran los precios unitarios, especificaciones técnicas y valores agregados de la propuesta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. </w:t>
      </w:r>
      <w:r w:rsidR="00BF683B" w:rsidRPr="00BF683B">
        <w:rPr>
          <w:rFonts w:ascii="Arial" w:hAnsi="Arial" w:cs="Arial"/>
          <w:sz w:val="22"/>
          <w:szCs w:val="22"/>
          <w:lang w:val="es-CO"/>
        </w:rPr>
        <w:t>La contratación se realiza</w:t>
      </w:r>
      <w:r w:rsidR="00BF683B">
        <w:rPr>
          <w:rFonts w:ascii="Arial" w:hAnsi="Arial" w:cs="Arial"/>
          <w:sz w:val="22"/>
          <w:szCs w:val="22"/>
          <w:lang w:val="es-CO"/>
        </w:rPr>
        <w:t>rá por</w:t>
      </w:r>
      <w:r w:rsidR="00BF683B" w:rsidRPr="00BF683B">
        <w:rPr>
          <w:rFonts w:ascii="Arial" w:hAnsi="Arial" w:cs="Arial"/>
          <w:sz w:val="22"/>
          <w:szCs w:val="22"/>
          <w:lang w:val="es-CO"/>
        </w:rPr>
        <w:t xml:space="preserve"> </w:t>
      </w:r>
      <w:r w:rsidR="00BF683B">
        <w:rPr>
          <w:rFonts w:ascii="Arial" w:hAnsi="Arial" w:cs="Arial"/>
          <w:sz w:val="22"/>
          <w:szCs w:val="22"/>
          <w:lang w:val="es-CO"/>
        </w:rPr>
        <w:t>tracto sucesivo (</w:t>
      </w:r>
      <w:r w:rsidR="00BF683B" w:rsidRPr="00BF683B">
        <w:rPr>
          <w:rFonts w:ascii="Arial" w:hAnsi="Arial" w:cs="Arial"/>
          <w:sz w:val="22"/>
          <w:szCs w:val="22"/>
          <w:lang w:val="es-CO"/>
        </w:rPr>
        <w:t>monto agotable</w:t>
      </w:r>
      <w:r w:rsidR="00BF683B">
        <w:rPr>
          <w:rFonts w:ascii="Arial" w:hAnsi="Arial" w:cs="Arial"/>
          <w:sz w:val="22"/>
          <w:szCs w:val="22"/>
          <w:lang w:val="es-CO"/>
        </w:rPr>
        <w:t>)</w:t>
      </w:r>
      <w:r w:rsidR="00BF683B" w:rsidRPr="00BF683B">
        <w:rPr>
          <w:rFonts w:ascii="Arial" w:hAnsi="Arial" w:cs="Arial"/>
          <w:sz w:val="22"/>
          <w:szCs w:val="22"/>
          <w:lang w:val="es-CO"/>
        </w:rPr>
        <w:t>, hasta el cumplimiento del plazo de ejecución o agotar el presupuesto asignado, lo que ocurra primero. El presupuesto asignado para esta necesidad corresponde a</w:t>
      </w:r>
      <w:r w:rsidRPr="00C669AD">
        <w:rPr>
          <w:rFonts w:ascii="Arial" w:hAnsi="Arial" w:cs="Arial"/>
          <w:sz w:val="22"/>
          <w:szCs w:val="22"/>
          <w:lang w:val="es-CO"/>
        </w:rPr>
        <w:t xml:space="preserve"> </w:t>
      </w:r>
      <w:r w:rsidR="00EE08F2">
        <w:rPr>
          <w:rFonts w:ascii="Arial" w:hAnsi="Arial" w:cs="Arial"/>
          <w:lang w:val="es-CO" w:eastAsia="es-CO"/>
        </w:rPr>
        <w:t>SEIS MILLONES DE PESOS M/CTE ($6</w:t>
      </w:r>
      <w:r w:rsidR="00FC32F1" w:rsidRPr="00373D19">
        <w:rPr>
          <w:rFonts w:ascii="Arial" w:hAnsi="Arial" w:cs="Arial"/>
          <w:lang w:val="es-CO" w:eastAsia="es-CO"/>
        </w:rPr>
        <w:t>.000.000,00)</w:t>
      </w:r>
      <w:r w:rsidR="00FC32F1">
        <w:rPr>
          <w:rFonts w:ascii="Arial" w:hAnsi="Arial" w:cs="Arial"/>
          <w:lang w:val="es-CO" w:eastAsia="es-CO"/>
        </w:rPr>
        <w:t xml:space="preserve"> 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y se cancelara </w:t>
      </w:r>
      <w:r>
        <w:rPr>
          <w:rFonts w:ascii="Arial" w:hAnsi="Arial" w:cs="Arial"/>
          <w:sz w:val="22"/>
          <w:szCs w:val="22"/>
          <w:lang w:val="es-CO"/>
        </w:rPr>
        <w:t>en</w:t>
      </w:r>
      <w:r w:rsidRPr="00F60334">
        <w:rPr>
          <w:rFonts w:ascii="Arial" w:hAnsi="Arial" w:cs="Arial"/>
          <w:sz w:val="22"/>
          <w:szCs w:val="22"/>
          <w:lang w:val="es-CO"/>
        </w:rPr>
        <w:t xml:space="preserve"> </w:t>
      </w:r>
      <w:r w:rsidRPr="00C669AD">
        <w:rPr>
          <w:rFonts w:ascii="Arial" w:hAnsi="Arial" w:cs="Arial"/>
          <w:sz w:val="22"/>
          <w:szCs w:val="22"/>
          <w:lang w:val="es-CO"/>
        </w:rPr>
        <w:t>mensualidades vencidas según el s</w:t>
      </w:r>
      <w:r>
        <w:rPr>
          <w:rFonts w:ascii="Arial" w:hAnsi="Arial" w:cs="Arial"/>
          <w:sz w:val="22"/>
          <w:szCs w:val="22"/>
          <w:lang w:val="es-CO"/>
        </w:rPr>
        <w:t>uministro</w:t>
      </w:r>
      <w:r w:rsidRPr="00C669AD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>realizado en el mes.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590B9E">
        <w:tc>
          <w:tcPr>
            <w:tcW w:w="8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EE08F2" w:rsidP="00EE08F2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lang w:val="es-CO" w:eastAsia="es-CO"/>
              </w:rPr>
              <w:t>SEIS</w:t>
            </w:r>
            <w:bookmarkStart w:id="0" w:name="_GoBack"/>
            <w:bookmarkEnd w:id="0"/>
            <w:r w:rsidR="00FC32F1" w:rsidRPr="00373D19">
              <w:rPr>
                <w:rFonts w:ascii="Arial" w:hAnsi="Arial" w:cs="Arial"/>
                <w:lang w:val="es-CO" w:eastAsia="es-CO"/>
              </w:rPr>
              <w:t xml:space="preserve"> MILLONES DE PESOS M/CTE ($</w:t>
            </w:r>
            <w:r>
              <w:rPr>
                <w:rFonts w:ascii="Arial" w:hAnsi="Arial" w:cs="Arial"/>
                <w:lang w:val="es-CO" w:eastAsia="es-CO"/>
              </w:rPr>
              <w:t>6.</w:t>
            </w:r>
            <w:r w:rsidR="00FC32F1" w:rsidRPr="00373D19">
              <w:rPr>
                <w:rFonts w:ascii="Arial" w:hAnsi="Arial" w:cs="Arial"/>
                <w:lang w:val="es-CO" w:eastAsia="es-CO"/>
              </w:rPr>
              <w:t>000.000,00)</w:t>
            </w:r>
            <w:r w:rsidR="00FC32F1">
              <w:rPr>
                <w:rFonts w:ascii="Arial" w:hAnsi="Arial" w:cs="Arial"/>
                <w:lang w:val="es-CO" w:eastAsia="es-CO"/>
              </w:rPr>
              <w:t xml:space="preserve"> INCLUIDO IVA</w:t>
            </w:r>
          </w:p>
        </w:tc>
      </w:tr>
    </w:tbl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0A45D1" w:rsidRPr="00AC145B" w:rsidRDefault="000A45D1" w:rsidP="000A45D1">
      <w:pPr>
        <w:pStyle w:val="Cuerpo"/>
        <w:jc w:val="both"/>
        <w:outlineLvl w:val="1"/>
        <w:rPr>
          <w:rStyle w:val="apple-converted-space"/>
          <w:rFonts w:ascii="Arial" w:hAnsi="Arial" w:cs="Arial"/>
          <w:b/>
          <w:sz w:val="22"/>
          <w:szCs w:val="22"/>
        </w:rPr>
      </w:pPr>
      <w:bookmarkStart w:id="1" w:name="_Toc458616054"/>
      <w:r w:rsidRPr="00AC145B">
        <w:rPr>
          <w:rStyle w:val="apple-converted-space"/>
          <w:rFonts w:ascii="Arial" w:eastAsia="Cambria" w:hAnsi="Arial" w:cs="Arial"/>
          <w:b/>
          <w:sz w:val="22"/>
          <w:szCs w:val="22"/>
        </w:rPr>
        <w:t>RECHAZO DE LA PROPUESTA U OFERTA</w:t>
      </w:r>
      <w:bookmarkEnd w:id="1"/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se compruebe que el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 se halla incurso en alguna(s) de las prohibiciones, inhabilidades e incompatibilidades para contratar, establecidas en la Legislación Nacional Colombiana.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se presenten dos (2) o más propuestas por el mismo </w:t>
      </w:r>
      <w:r w:rsidRPr="00AC145B">
        <w:rPr>
          <w:rStyle w:val="apple-converted-space"/>
          <w:rFonts w:ascii="Arial" w:hAnsi="Arial" w:cs="Arial"/>
          <w:b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>, bajo el mismo nombre o con nombres diferentes.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>Las propuestas que contengan enmendaduras, o presenten alteraciones o irregularidades.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lastRenderedPageBreak/>
        <w:t xml:space="preserve">Cuando el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 ejecute cualquier acción tendiente a influir o presionar a los encargados de la evaluación de las propuestas o de la adjudicación del contrato.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el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 se encuentre incluido en el último boletín de Responsables fiscales publicado por la Contraloría General de la República, en los términos del artículo 60 de la Ley 610 de 2000.</w:t>
      </w: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 xml:space="preserve">Cuando se evidencie(n) documento(s) no ajustado(s) a la realidad proveniente(s) del   </w:t>
      </w:r>
      <w:r w:rsidRPr="00AC145B">
        <w:rPr>
          <w:rStyle w:val="apple-converted-space"/>
          <w:rFonts w:ascii="Arial" w:hAnsi="Arial" w:cs="Arial"/>
          <w:b/>
          <w:bCs/>
          <w:sz w:val="22"/>
          <w:szCs w:val="22"/>
        </w:rPr>
        <w:t>PROPONENTE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>Cuando la propuesta u oferta sea presentada extemporáneamente.</w:t>
      </w:r>
    </w:p>
    <w:p w:rsidR="000A45D1" w:rsidRPr="00AC145B" w:rsidRDefault="000A45D1" w:rsidP="00CF2199">
      <w:pPr>
        <w:shd w:val="clear" w:color="auto" w:fill="FFFFFF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AC145B">
        <w:rPr>
          <w:rStyle w:val="apple-converted-space"/>
          <w:rFonts w:ascii="Arial" w:hAnsi="Arial" w:cs="Arial"/>
          <w:sz w:val="22"/>
          <w:szCs w:val="22"/>
        </w:rPr>
        <w:t>Cuando la propuesta supere el valor del presupuesto oficial.</w:t>
      </w: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0A45D1" w:rsidRPr="00AC145B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AC145B">
        <w:rPr>
          <w:rFonts w:ascii="Arial" w:hAnsi="Arial" w:cs="Arial"/>
          <w:color w:val="000000"/>
          <w:sz w:val="22"/>
          <w:szCs w:val="22"/>
        </w:rPr>
        <w:t xml:space="preserve">Cuando el objeto social del oferente no sea </w:t>
      </w:r>
      <w:r w:rsidR="00AC145B" w:rsidRPr="00AC145B">
        <w:rPr>
          <w:rFonts w:ascii="Arial" w:hAnsi="Arial" w:cs="Arial"/>
          <w:color w:val="000000"/>
          <w:sz w:val="22"/>
          <w:szCs w:val="22"/>
        </w:rPr>
        <w:t xml:space="preserve"> afín al objeto a contratar.</w:t>
      </w:r>
    </w:p>
    <w:p w:rsidR="000A45D1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97430D" w:rsidRPr="009B152B" w:rsidRDefault="0097430D" w:rsidP="0097430D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Cuando en la oferta económica o cotización </w:t>
      </w:r>
      <w:r w:rsidRPr="009B152B">
        <w:rPr>
          <w:rFonts w:ascii="Arial" w:hAnsi="Arial" w:cs="Arial"/>
          <w:color w:val="000000"/>
          <w:sz w:val="22"/>
          <w:szCs w:val="22"/>
        </w:rPr>
        <w:t xml:space="preserve">no </w:t>
      </w:r>
      <w:r>
        <w:rPr>
          <w:rFonts w:ascii="Arial" w:hAnsi="Arial" w:cs="Arial"/>
          <w:color w:val="000000"/>
          <w:sz w:val="22"/>
          <w:szCs w:val="22"/>
        </w:rPr>
        <w:t xml:space="preserve">se </w:t>
      </w:r>
      <w:r w:rsidRPr="009B152B">
        <w:rPr>
          <w:rFonts w:ascii="Arial" w:hAnsi="Arial" w:cs="Arial"/>
          <w:color w:val="000000"/>
          <w:sz w:val="22"/>
          <w:szCs w:val="22"/>
        </w:rPr>
        <w:t xml:space="preserve">coticen la totalidad de los ítems requeridos </w:t>
      </w:r>
      <w:r>
        <w:rPr>
          <w:rFonts w:ascii="Arial" w:hAnsi="Arial" w:cs="Arial"/>
          <w:color w:val="000000"/>
          <w:sz w:val="22"/>
          <w:szCs w:val="22"/>
        </w:rPr>
        <w:t>o se cambie alguna especificación técnica.</w:t>
      </w:r>
    </w:p>
    <w:p w:rsidR="000A45D1" w:rsidRPr="000A45D1" w:rsidRDefault="000A45D1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</w:t>
      </w:r>
      <w:r w:rsidR="00A91F28">
        <w:rPr>
          <w:rFonts w:ascii="Arial" w:hAnsi="Arial" w:cs="Arial"/>
          <w:color w:val="000000"/>
          <w:sz w:val="22"/>
          <w:szCs w:val="22"/>
        </w:rPr>
        <w:t>335071, 8332561</w:t>
      </w:r>
      <w:r w:rsidRPr="00CF2199">
        <w:rPr>
          <w:rFonts w:ascii="Arial" w:hAnsi="Arial" w:cs="Arial"/>
          <w:color w:val="000000"/>
          <w:sz w:val="22"/>
          <w:szCs w:val="22"/>
        </w:rPr>
        <w:t>, extensión 1</w:t>
      </w:r>
      <w:r w:rsidR="00A91F28">
        <w:rPr>
          <w:rFonts w:ascii="Arial" w:hAnsi="Arial" w:cs="Arial"/>
          <w:color w:val="000000"/>
          <w:sz w:val="22"/>
          <w:szCs w:val="22"/>
        </w:rPr>
        <w:t>12</w:t>
      </w:r>
      <w:r w:rsidRPr="00CF2199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620B8B" w:rsidRPr="009B20F9">
          <w:rPr>
            <w:rStyle w:val="Hipervnculo"/>
            <w:rFonts w:ascii="Arial" w:hAnsi="Arial" w:cs="Arial"/>
            <w:bCs/>
            <w:sz w:val="22"/>
            <w:szCs w:val="22"/>
          </w:rPr>
          <w:t>comprasudec.girardot@ucundinamarca.edu.co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620B8B" w:rsidRPr="00620B8B" w:rsidRDefault="00620B8B" w:rsidP="00620B8B">
      <w:pPr>
        <w:rPr>
          <w:rFonts w:ascii="Tahoma" w:hAnsi="Tahoma" w:cs="Tahoma"/>
          <w:sz w:val="24"/>
          <w:szCs w:val="24"/>
          <w:lang w:val="es-CO" w:eastAsia="es-CO"/>
        </w:rPr>
      </w:pPr>
      <w:r w:rsidRPr="00620B8B">
        <w:rPr>
          <w:rFonts w:ascii="Arial" w:hAnsi="Arial" w:cs="Arial"/>
          <w:color w:val="000000"/>
          <w:sz w:val="24"/>
          <w:szCs w:val="24"/>
          <w:lang w:val="es-CO" w:eastAsia="es-CO"/>
        </w:rPr>
        <w:t> </w:t>
      </w: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</w:tblGrid>
      <w:tr w:rsidR="00620B8B" w:rsidRPr="00620B8B" w:rsidTr="00590B9E">
        <w:trPr>
          <w:trHeight w:val="188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20B8B" w:rsidRPr="00620B8B" w:rsidRDefault="00620B8B" w:rsidP="00FC32F1">
            <w:pPr>
              <w:jc w:val="both"/>
              <w:divId w:val="393696906"/>
              <w:rPr>
                <w:lang w:val="es-CO" w:eastAsia="es-CO"/>
              </w:rPr>
            </w:pPr>
            <w:r w:rsidRPr="00821159">
              <w:rPr>
                <w:rFonts w:ascii="Arial" w:hAnsi="Arial" w:cs="Arial"/>
                <w:color w:val="000000"/>
              </w:rPr>
              <w:t>Los </w:t>
            </w:r>
            <w:r w:rsidR="00FC32F1">
              <w:rPr>
                <w:rFonts w:ascii="Arial" w:hAnsi="Arial" w:cs="Arial"/>
                <w:b/>
                <w:bCs/>
                <w:color w:val="000000"/>
                <w:u w:val="single"/>
              </w:rPr>
              <w:t>Anexos 01, 02, 03 y 04</w:t>
            </w:r>
            <w:r w:rsidRPr="00821159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620B8B" w:rsidRPr="00821159" w:rsidTr="00C468BE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821159" w:rsidRDefault="00FC32F1" w:rsidP="00620B8B">
            <w:pPr>
              <w:jc w:val="both"/>
              <w:rPr>
                <w:rFonts w:ascii="Arial" w:hAnsi="Arial" w:cs="Arial"/>
                <w:b/>
                <w:bCs/>
                <w:u w:val="single"/>
                <w:lang w:val="es-CO" w:eastAsia="es-CO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821159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</w:t>
            </w:r>
            <w:r w:rsidRPr="00821159">
              <w:rPr>
                <w:rFonts w:ascii="Arial" w:hAnsi="Arial" w:cs="Arial"/>
                <w:b/>
                <w:color w:val="000000"/>
                <w:u w:val="single"/>
              </w:rPr>
              <w:t>utorización de datos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debidamente diligenciada y suscrita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Default="00FC32F1" w:rsidP="00821159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</w:t>
            </w:r>
            <w:r w:rsidR="00B177BD">
              <w:rPr>
                <w:rFonts w:ascii="Arial" w:hAnsi="Arial" w:cs="Arial"/>
                <w:color w:val="000000"/>
                <w:szCs w:val="22"/>
              </w:rPr>
              <w:t xml:space="preserve">persona natural 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 está registrada y </w:t>
            </w:r>
            <w:r w:rsidR="00B177BD">
              <w:rPr>
                <w:rFonts w:ascii="Arial" w:hAnsi="Arial" w:cs="Arial"/>
                <w:color w:val="000000"/>
                <w:szCs w:val="22"/>
              </w:rPr>
              <w:t xml:space="preserve">esta última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FC32F1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Paz y salvo de aportes parafiscales</w:t>
            </w:r>
            <w:r>
              <w:rPr>
                <w:rFonts w:ascii="Arial" w:hAnsi="Arial" w:cs="Arial"/>
              </w:rPr>
              <w:t>  (personas jurídicas con carácter de empresa), o </w:t>
            </w:r>
            <w:r>
              <w:rPr>
                <w:rFonts w:ascii="Arial" w:hAnsi="Arial" w:cs="Arial"/>
                <w:u w:val="single"/>
              </w:rPr>
              <w:t>certificación</w:t>
            </w:r>
            <w:r>
              <w:rPr>
                <w:rFonts w:ascii="Arial" w:hAnsi="Arial" w:cs="Arial"/>
              </w:rPr>
              <w:t> del Revisor Fiscal si lo tiene o del 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Representante legal para personas </w:t>
            </w:r>
            <w:r>
              <w:rPr>
                <w:rFonts w:ascii="Arial" w:hAnsi="Arial" w:cs="Arial"/>
                <w:b/>
                <w:bCs/>
                <w:u w:val="single"/>
              </w:rPr>
              <w:lastRenderedPageBreak/>
              <w:t>jurídica</w:t>
            </w: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</w:rPr>
              <w:t>con una fecha de expedición no mayor a treinta (30) días, conforme al artículo 50 de la ley 789 de 2002. Dicho Paz y Salvo debe ser firmado por el Representante Legal o el Revisor Fiscal si está obligado a tenerlo, para este último deberá adjuntarse el certificado de antecedentes disciplinarios de la Junta Central de Contadores vigente junto con la tarjeta profesional y la fotocopia de la cédula.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  <w:tr w:rsidR="00B177BD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177BD" w:rsidRPr="00B177BD" w:rsidRDefault="00B177BD" w:rsidP="00B8458E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Para l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>as personas naturales</w:t>
            </w:r>
            <w:r w:rsidR="00B8458E"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B8458E"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 xml:space="preserve">onstancia de </w:t>
            </w:r>
            <w:r w:rsidRPr="00B177BD">
              <w:rPr>
                <w:rFonts w:ascii="Arial" w:hAnsi="Arial" w:cs="Arial"/>
                <w:b/>
                <w:bCs/>
                <w:bdr w:val="none" w:sz="0" w:space="0" w:color="auto" w:frame="1"/>
              </w:rPr>
              <w:t>Afiliación al Sistema General</w:t>
            </w:r>
            <w:r w:rsidR="00FB443E"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de Seguridad Social en Salud y Pensión</w:t>
            </w:r>
            <w:r w:rsidRPr="00B177BD">
              <w:rPr>
                <w:rFonts w:ascii="Arial" w:hAnsi="Arial" w:cs="Arial"/>
                <w:bCs/>
                <w:bdr w:val="none" w:sz="0" w:space="0" w:color="auto" w:frame="1"/>
              </w:rPr>
              <w:t xml:space="preserve">con fecha de expedición no mayor a treinta (30) días a la fecha de presentación de la oferta, 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>o  copia del recibo del pago del periodo de la cotización del mes anterior a la fecha de presentación de la presente propuesta.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 de la </w:t>
            </w:r>
            <w:r w:rsidR="006C4F2A"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de la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  y  su  Representante legal, emitido por la Procuraduría General de la Nación, con fecha de expedición no anterior a treinta (30) días calendario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</w:t>
            </w:r>
            <w:r w:rsidR="006C4F2A" w:rsidRPr="00CF2199">
              <w:rPr>
                <w:rFonts w:ascii="Arial" w:hAnsi="Arial" w:cs="Arial"/>
                <w:color w:val="000000"/>
                <w:szCs w:val="22"/>
              </w:rPr>
              <w:t xml:space="preserve">de la </w:t>
            </w:r>
            <w:r w:rsidR="006C4F2A"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 Sociedad y su Representante legal emitido por la Contraloría General de la Republica, con fecha de expedición no anterior a treinta (30) días calendario.</w:t>
            </w:r>
          </w:p>
        </w:tc>
      </w:tr>
      <w:tr w:rsidR="00FC32F1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32F1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="006C4F2A" w:rsidRPr="00CF2199">
              <w:rPr>
                <w:rFonts w:ascii="Arial" w:hAnsi="Arial" w:cs="Arial"/>
                <w:color w:val="000000"/>
                <w:szCs w:val="22"/>
              </w:rPr>
              <w:t xml:space="preserve">de la </w:t>
            </w:r>
            <w:r w:rsidR="006C4F2A"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620B8B" w:rsidRPr="00620B8B" w:rsidTr="00490001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20B8B" w:rsidRPr="00620B8B" w:rsidRDefault="00FC32F1" w:rsidP="00620B8B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="00B177BD">
              <w:rPr>
                <w:rFonts w:ascii="Arial" w:hAnsi="Arial" w:cs="Arial"/>
                <w:color w:val="000000"/>
                <w:szCs w:val="22"/>
              </w:rPr>
              <w:t> del Representante Legal o persona natural</w:t>
            </w:r>
          </w:p>
        </w:tc>
      </w:tr>
    </w:tbl>
    <w:p w:rsidR="00620B8B" w:rsidRPr="00620B8B" w:rsidRDefault="00620B8B" w:rsidP="00620B8B">
      <w:pPr>
        <w:rPr>
          <w:rFonts w:ascii="Tahoma" w:hAnsi="Tahoma" w:cs="Tahoma"/>
          <w:sz w:val="24"/>
          <w:szCs w:val="24"/>
          <w:lang w:val="es-CO" w:eastAsia="es-CO"/>
        </w:rPr>
      </w:pPr>
      <w:r w:rsidRPr="00620B8B">
        <w:rPr>
          <w:rFonts w:ascii="Arial" w:hAnsi="Arial" w:cs="Arial"/>
          <w:color w:val="000000"/>
          <w:sz w:val="24"/>
          <w:szCs w:val="24"/>
          <w:lang w:val="es-CO" w:eastAsia="es-CO"/>
        </w:rPr>
        <w:t> </w:t>
      </w:r>
    </w:p>
    <w:p w:rsidR="00CF2199" w:rsidRPr="00CF2199" w:rsidRDefault="00CF2199" w:rsidP="00640C8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AF3D95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5A2682" w:rsidRDefault="005A268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640C84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95" w:rsidRDefault="00AF3D95" w:rsidP="0044036E">
      <w:r>
        <w:separator/>
      </w:r>
    </w:p>
  </w:endnote>
  <w:endnote w:type="continuationSeparator" w:id="0">
    <w:p w:rsidR="00AF3D95" w:rsidRDefault="00AF3D9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95" w:rsidRDefault="00AF3D95" w:rsidP="0044036E">
      <w:r>
        <w:separator/>
      </w:r>
    </w:p>
  </w:footnote>
  <w:footnote w:type="continuationSeparator" w:id="0">
    <w:p w:rsidR="00AF3D95" w:rsidRDefault="00AF3D9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5"/>
  </w:num>
  <w:num w:numId="14">
    <w:abstractNumId w:val="13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D0C31"/>
    <w:rsid w:val="000F1343"/>
    <w:rsid w:val="000F4315"/>
    <w:rsid w:val="000F7DAE"/>
    <w:rsid w:val="001004F6"/>
    <w:rsid w:val="001054A3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267C4"/>
    <w:rsid w:val="0033315E"/>
    <w:rsid w:val="00334001"/>
    <w:rsid w:val="00335FE0"/>
    <w:rsid w:val="003404A3"/>
    <w:rsid w:val="00340A98"/>
    <w:rsid w:val="00374919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83D"/>
    <w:rsid w:val="00793C51"/>
    <w:rsid w:val="007C31B3"/>
    <w:rsid w:val="007C6721"/>
    <w:rsid w:val="007D2922"/>
    <w:rsid w:val="007D4948"/>
    <w:rsid w:val="007D59C0"/>
    <w:rsid w:val="007D5F28"/>
    <w:rsid w:val="007D6142"/>
    <w:rsid w:val="007F1DAE"/>
    <w:rsid w:val="007F327B"/>
    <w:rsid w:val="00800720"/>
    <w:rsid w:val="00806886"/>
    <w:rsid w:val="00813343"/>
    <w:rsid w:val="00821159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3169"/>
    <w:rsid w:val="00947E94"/>
    <w:rsid w:val="00953B68"/>
    <w:rsid w:val="0095467C"/>
    <w:rsid w:val="0097430D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AF3D95"/>
    <w:rsid w:val="00B03AD8"/>
    <w:rsid w:val="00B177BD"/>
    <w:rsid w:val="00B275D5"/>
    <w:rsid w:val="00B4526B"/>
    <w:rsid w:val="00B5071A"/>
    <w:rsid w:val="00B5349E"/>
    <w:rsid w:val="00B62129"/>
    <w:rsid w:val="00B71180"/>
    <w:rsid w:val="00B8458E"/>
    <w:rsid w:val="00B93746"/>
    <w:rsid w:val="00BA2F43"/>
    <w:rsid w:val="00BC424E"/>
    <w:rsid w:val="00BF683B"/>
    <w:rsid w:val="00C00F4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5813"/>
    <w:rsid w:val="00EB60A5"/>
    <w:rsid w:val="00EE05DC"/>
    <w:rsid w:val="00EE08F2"/>
    <w:rsid w:val="00F2791E"/>
    <w:rsid w:val="00F463B5"/>
    <w:rsid w:val="00F4737C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C9BC9-46D4-4190-B073-12936DCC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1498</Words>
  <Characters>8242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18</cp:revision>
  <cp:lastPrinted>2019-02-25T15:09:00Z</cp:lastPrinted>
  <dcterms:created xsi:type="dcterms:W3CDTF">2019-02-25T15:01:00Z</dcterms:created>
  <dcterms:modified xsi:type="dcterms:W3CDTF">2019-03-05T18:08:00Z</dcterms:modified>
</cp:coreProperties>
</file>