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B13055">
        <w:rPr>
          <w:rFonts w:ascii="Arial" w:hAnsi="Arial" w:cs="Arial"/>
          <w:b/>
          <w:sz w:val="22"/>
          <w:szCs w:val="22"/>
          <w:lang w:val="es-CO"/>
        </w:rPr>
        <w:t>06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B13055">
        <w:rPr>
          <w:rFonts w:ascii="Arial" w:hAnsi="Arial" w:cs="Arial"/>
          <w:b/>
          <w:sz w:val="22"/>
          <w:szCs w:val="22"/>
          <w:lang w:val="es-CO"/>
        </w:rPr>
        <w:t>marzo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B262E6">
        <w:rPr>
          <w:rFonts w:ascii="Arial" w:hAnsi="Arial" w:cs="Arial"/>
          <w:b/>
          <w:sz w:val="22"/>
          <w:szCs w:val="22"/>
          <w:lang w:val="es-CO"/>
        </w:rPr>
        <w:t>5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000CE8" w:rsidRPr="00E4637E" w:rsidRDefault="0092246F" w:rsidP="0092246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“S</w:t>
            </w:r>
            <w:r w:rsidRPr="0092246F">
              <w:rPr>
                <w:rFonts w:ascii="Arial" w:hAnsi="Arial" w:cs="Arial"/>
                <w:sz w:val="22"/>
                <w:szCs w:val="22"/>
              </w:rPr>
              <w:t xml:space="preserve">ervicio especializado para la implementación de módulos de interoperabilidad del sistema académico, plataforma de gestión y aprendizaje (MOODLE), plan de aprendizaje y sistema calificador de la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2246F">
              <w:rPr>
                <w:rFonts w:ascii="Arial" w:hAnsi="Arial" w:cs="Arial"/>
                <w:sz w:val="22"/>
                <w:szCs w:val="22"/>
              </w:rPr>
              <w:t>niversidad de Cundinamarca”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1E4D8B" w:rsidP="00F026A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F026A6">
              <w:rPr>
                <w:rFonts w:ascii="Arial" w:hAnsi="Arial" w:cs="Arial"/>
                <w:sz w:val="22"/>
                <w:szCs w:val="22"/>
                <w:lang w:val="es-CO"/>
              </w:rPr>
              <w:t>45.000.000</w:t>
            </w:r>
            <w:r w:rsidR="00881F74"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F026A6">
              <w:rPr>
                <w:rFonts w:ascii="Arial" w:hAnsi="Arial" w:cs="Arial"/>
                <w:sz w:val="22"/>
                <w:szCs w:val="22"/>
                <w:lang w:val="es-CO"/>
              </w:rPr>
              <w:t>CUARENTA Y CINCO</w:t>
            </w:r>
            <w:r w:rsidR="006A0E3E" w:rsidRPr="006A0E3E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F026A6">
              <w:rPr>
                <w:rFonts w:ascii="Arial" w:hAnsi="Arial" w:cs="Arial"/>
                <w:sz w:val="22"/>
                <w:szCs w:val="22"/>
                <w:lang w:val="es-CO"/>
              </w:rPr>
              <w:t xml:space="preserve">MILLONES DE </w:t>
            </w:r>
            <w:r w:rsidR="006A0E3E" w:rsidRPr="006A0E3E">
              <w:rPr>
                <w:rFonts w:ascii="Arial" w:hAnsi="Arial" w:cs="Arial"/>
                <w:sz w:val="22"/>
                <w:szCs w:val="22"/>
                <w:lang w:val="es-CO"/>
              </w:rPr>
              <w:t>PESOS</w:t>
            </w:r>
            <w:r w:rsidR="006A0E3E">
              <w:rPr>
                <w:rFonts w:ascii="Arial" w:hAnsi="Arial" w:cs="Arial"/>
                <w:sz w:val="22"/>
                <w:szCs w:val="22"/>
                <w:lang w:val="es-CO"/>
              </w:rPr>
              <w:t xml:space="preserve"> M/CTE</w:t>
            </w:r>
            <w:r w:rsidR="005129A6" w:rsidRPr="00254B0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885"/>
        <w:gridCol w:w="1417"/>
        <w:gridCol w:w="941"/>
        <w:gridCol w:w="1290"/>
        <w:gridCol w:w="1112"/>
        <w:gridCol w:w="1559"/>
      </w:tblGrid>
      <w:tr w:rsidR="00E01B37" w:rsidRPr="00254B01" w:rsidTr="00B13055">
        <w:trPr>
          <w:trHeight w:val="1215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Ítem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Descripción del bien, Servicio u Obra (Especificaciones Técnicas, Medida, Referencia, Color, etc.)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Valor  Unitario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 xml:space="preserve"> Valor Total  </w:t>
            </w:r>
          </w:p>
        </w:tc>
      </w:tr>
      <w:tr w:rsidR="00E01B37" w:rsidRPr="00254B01" w:rsidTr="00B13055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55" w:rsidRPr="00B13055" w:rsidRDefault="00B13055" w:rsidP="00B130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 xml:space="preserve">Servicio especializado para la </w:t>
            </w: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implementación</w:t>
            </w: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módulos</w:t>
            </w:r>
          </w:p>
          <w:p w:rsidR="00B13055" w:rsidRPr="00B13055" w:rsidRDefault="00B13055" w:rsidP="00B130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 xml:space="preserve">de interoperabilidad del sistema </w:t>
            </w: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académico</w:t>
            </w: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</w:t>
            </w:r>
          </w:p>
          <w:p w:rsidR="00B13055" w:rsidRPr="00B13055" w:rsidRDefault="00B13055" w:rsidP="00B130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Universidad y las aulas virtuales. </w:t>
            </w: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Módulo</w:t>
            </w: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plan de</w:t>
            </w:r>
          </w:p>
          <w:p w:rsidR="00E01B37" w:rsidRPr="00254B01" w:rsidRDefault="00B13055" w:rsidP="00B130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aprendizaje y sistema calificador.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254B01" w:rsidRDefault="00B13055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300"/>
          <w:jc w:val="center"/>
        </w:trPr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IVA __(%)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7243C" w:rsidRPr="00254B01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254B01" w:rsidTr="007475DA">
        <w:tc>
          <w:tcPr>
            <w:tcW w:w="8266" w:type="dxa"/>
          </w:tcPr>
          <w:p w:rsidR="00B50066" w:rsidRPr="005F2C5A" w:rsidRDefault="00B50066" w:rsidP="005F2C5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996641" w:rsidRPr="00254B01" w:rsidRDefault="00B13055" w:rsidP="00D1134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Entorno productivo aulas virtuales – servidor Moodle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B13055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60 Días Calendario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5F2C5A" w:rsidRPr="00263F34" w:rsidRDefault="00B13055" w:rsidP="00D913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Hacer entrega del BIEN, SERVICIO u OBRA con las características técnicas descritas solicitadas y en cumplimiento de los estándares de calidad</w:t>
            </w:r>
            <w:r w:rsid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vigentes.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se compromete a conocer, entender, comunicar y cumplir lo establecido en la Resolución 000050 de 2018 "Por la cual se establece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Política de tratamiento de Datos de los titulares de la Universidad de Cundinamarca"</w:t>
            </w:r>
          </w:p>
          <w:p w:rsidR="00263F34" w:rsidRPr="00263F34" w:rsidRDefault="00263F34" w:rsidP="000A5F6C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se compromete a mantener estricta reserva y confidencialidad sobre la información que conozca por causa o con ocasión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ejecución del objeto contractual.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debe conocer, entender, comunicar y cumplir lo establecido en la Resolución 185 de 2016 "Por la cual se adopta el Sistema de Gestión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Seguridad y Salud en el trabajo SG-SST y actualiza la Política de Seguridad y Salud en el trabajo de la Universidad de Cundinamarca"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debe conocer, entender, comunicar y cumplir lo establecido en la Resolución 187 de 2016 "Por la cual se crea y adopta la Política de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Seguridad vial de la Universidad de Cundinamarca"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Las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demás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que se deriven de la ley y la naturaleza del BIEN, SERVICIO u OBRA a contratar</w:t>
            </w:r>
          </w:p>
          <w:p w:rsid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sidad de Cundinamarca (ATHM023).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Realizar entrega de los códigos fuentes producto de la solución brindada.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Realizar capacitación al personal de la Dirección de Sistemas y Tecnología y de la Oficina de Educación virtual y a distancia sobre la configuración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técnica y en aplicación para el despliegue y mantenimiento de la solución.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Entregar la documentación de las soluciones Web Service desarrolladas o de la estructura requerida en la interoperabilidad.</w:t>
            </w:r>
          </w:p>
          <w:p w:rsidR="00263F34" w:rsidRPr="008E6376" w:rsidRDefault="00263F34" w:rsidP="008E637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Entregar la solución en entorno productivo de la Universidad de Cundinamarca, validando que los componentes existentes continúen con su normal</w:t>
            </w:r>
            <w:r w:rsid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funcionamiento. Dicha solución debe respaldarse en un documento escrito que evidencie los resultados de la configuración y ejecución del web</w:t>
            </w:r>
            <w:r w:rsid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S</w:t>
            </w:r>
            <w:r w:rsidRP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ervice con su respectivo manual de usuario.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Informar a la Universidad de Cundinamarca los retrasos que se puedan presentar en el desarrollo del proyecto.</w:t>
            </w:r>
          </w:p>
          <w:p w:rsidR="00263F34" w:rsidRPr="008E6376" w:rsidRDefault="00263F34" w:rsidP="008E637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Establecer un cronograma de Trabajo para el desarrollo de la Solución en la cual se definirán las entregas parciales de los productos en versión</w:t>
            </w:r>
            <w:r w:rsid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estable.</w:t>
            </w:r>
          </w:p>
          <w:p w:rsidR="005F2C5A" w:rsidRPr="00254B01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Entregar un documento escrito de verificación del estado del gestor de aprendizaje y que salvaguarde la configuración actual del mismo.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="008E6376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C5773E" w:rsidRPr="00254B01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>La Universidad de Cundinamarca exigirá póliza con las siguientes coberturas</w:t>
      </w:r>
    </w:p>
    <w:p w:rsidR="00C5773E" w:rsidRPr="00254B01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8E6376" w:rsidRPr="00254B01" w:rsidTr="00494271">
        <w:tc>
          <w:tcPr>
            <w:tcW w:w="2463" w:type="dxa"/>
          </w:tcPr>
          <w:p w:rsidR="008E6376" w:rsidRPr="00254B01" w:rsidRDefault="008E6376" w:rsidP="008E637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bookmarkEnd w:id="0"/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  <w:vAlign w:val="center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b/>
                <w:iCs/>
                <w:sz w:val="20"/>
                <w:szCs w:val="20"/>
              </w:rPr>
              <w:t>Cumplimiento de las obligaciones</w:t>
            </w:r>
          </w:p>
        </w:tc>
        <w:tc>
          <w:tcPr>
            <w:tcW w:w="1999" w:type="dxa"/>
            <w:vAlign w:val="center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iCs/>
                <w:sz w:val="20"/>
                <w:szCs w:val="20"/>
              </w:rPr>
              <w:t>30%</w:t>
            </w:r>
          </w:p>
        </w:tc>
        <w:tc>
          <w:tcPr>
            <w:tcW w:w="1947" w:type="dxa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iCs/>
                <w:sz w:val="20"/>
                <w:szCs w:val="20"/>
              </w:rPr>
              <w:t>Por el término de la vigencia del contrato, más 4 meses más.</w:t>
            </w:r>
          </w:p>
        </w:tc>
      </w:tr>
      <w:tr w:rsidR="008E6376" w:rsidRPr="00254B01" w:rsidTr="00494271">
        <w:tc>
          <w:tcPr>
            <w:tcW w:w="2463" w:type="dxa"/>
          </w:tcPr>
          <w:p w:rsidR="008E6376" w:rsidRPr="00254B01" w:rsidRDefault="008E6376" w:rsidP="008E637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  <w:vAlign w:val="center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b/>
                <w:iCs/>
                <w:sz w:val="20"/>
                <w:szCs w:val="20"/>
              </w:rPr>
              <w:t>Calidad del Servicio</w:t>
            </w:r>
          </w:p>
        </w:tc>
        <w:tc>
          <w:tcPr>
            <w:tcW w:w="1999" w:type="dxa"/>
            <w:vAlign w:val="center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iCs/>
                <w:sz w:val="20"/>
                <w:szCs w:val="20"/>
              </w:rPr>
              <w:t>50%</w:t>
            </w:r>
          </w:p>
        </w:tc>
        <w:tc>
          <w:tcPr>
            <w:tcW w:w="1947" w:type="dxa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iCs/>
                <w:sz w:val="20"/>
                <w:szCs w:val="20"/>
              </w:rPr>
              <w:t>Por el término de la vigencia del contrato, más UN (01) año más, contado a partir del acta de recibo a satisfacción.</w:t>
            </w:r>
          </w:p>
        </w:tc>
      </w:tr>
    </w:tbl>
    <w:p w:rsidR="00C5773E" w:rsidRPr="00254B01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254B01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AB6548">
        <w:trPr>
          <w:trHeight w:val="512"/>
        </w:trPr>
        <w:tc>
          <w:tcPr>
            <w:tcW w:w="8261" w:type="dxa"/>
          </w:tcPr>
          <w:p w:rsidR="003F6168" w:rsidRPr="00254B01" w:rsidRDefault="00BB6516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 UNICO PAGO.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BB6516">
        <w:rPr>
          <w:rFonts w:ascii="Arial" w:hAnsi="Arial" w:cs="Arial"/>
          <w:sz w:val="16"/>
          <w:szCs w:val="16"/>
          <w:lang w:val="es-CO"/>
        </w:rPr>
        <w:t>Katerine García O.</w:t>
      </w:r>
    </w:p>
    <w:p w:rsidR="00BB6516" w:rsidRPr="00D6204F" w:rsidRDefault="00BB651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Vo.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54" w:rsidRDefault="00DF0354" w:rsidP="0044036E">
      <w:r>
        <w:separator/>
      </w:r>
    </w:p>
  </w:endnote>
  <w:endnote w:type="continuationSeparator" w:id="0">
    <w:p w:rsidR="00DF0354" w:rsidRDefault="00DF035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54" w:rsidRDefault="00DF0354" w:rsidP="0044036E">
      <w:r>
        <w:separator/>
      </w:r>
    </w:p>
  </w:footnote>
  <w:footnote w:type="continuationSeparator" w:id="0">
    <w:p w:rsidR="00DF0354" w:rsidRDefault="00DF035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B6516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B6516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23"/>
  </w:num>
  <w:num w:numId="14">
    <w:abstractNumId w:val="6"/>
  </w:num>
  <w:num w:numId="15">
    <w:abstractNumId w:val="22"/>
  </w:num>
  <w:num w:numId="16">
    <w:abstractNumId w:val="10"/>
  </w:num>
  <w:num w:numId="17">
    <w:abstractNumId w:val="2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30"/>
  </w:num>
  <w:num w:numId="26">
    <w:abstractNumId w:val="24"/>
  </w:num>
  <w:num w:numId="27">
    <w:abstractNumId w:val="29"/>
  </w:num>
  <w:num w:numId="28">
    <w:abstractNumId w:val="19"/>
  </w:num>
  <w:num w:numId="29">
    <w:abstractNumId w:val="13"/>
  </w:num>
  <w:num w:numId="30">
    <w:abstractNumId w:val="5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63F34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C4A02"/>
    <w:rsid w:val="005F2C5A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9115C"/>
    <w:rsid w:val="006A0E3E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E6376"/>
    <w:rsid w:val="008F03BC"/>
    <w:rsid w:val="009034C6"/>
    <w:rsid w:val="009039BC"/>
    <w:rsid w:val="00904065"/>
    <w:rsid w:val="00910C45"/>
    <w:rsid w:val="009157A9"/>
    <w:rsid w:val="00917F9B"/>
    <w:rsid w:val="0092246F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055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943C3"/>
    <w:rsid w:val="00BA2F43"/>
    <w:rsid w:val="00BB3F36"/>
    <w:rsid w:val="00BB6516"/>
    <w:rsid w:val="00BC719A"/>
    <w:rsid w:val="00BE3C62"/>
    <w:rsid w:val="00C00F49"/>
    <w:rsid w:val="00C0333B"/>
    <w:rsid w:val="00C13494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C248C"/>
    <w:rsid w:val="00CD058D"/>
    <w:rsid w:val="00CD196D"/>
    <w:rsid w:val="00CF17F8"/>
    <w:rsid w:val="00D11347"/>
    <w:rsid w:val="00D12A07"/>
    <w:rsid w:val="00D2016B"/>
    <w:rsid w:val="00D31D3D"/>
    <w:rsid w:val="00D4347E"/>
    <w:rsid w:val="00D46FBC"/>
    <w:rsid w:val="00D51C02"/>
    <w:rsid w:val="00D57751"/>
    <w:rsid w:val="00D6204F"/>
    <w:rsid w:val="00D6650B"/>
    <w:rsid w:val="00D741F8"/>
    <w:rsid w:val="00D77A82"/>
    <w:rsid w:val="00D85A8E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19BE"/>
    <w:rsid w:val="00DE377C"/>
    <w:rsid w:val="00DF0354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ED3C98"/>
    <w:rsid w:val="00F026A6"/>
    <w:rsid w:val="00F20A51"/>
    <w:rsid w:val="00F7101F"/>
    <w:rsid w:val="00F97756"/>
    <w:rsid w:val="00FA2880"/>
    <w:rsid w:val="00FC5033"/>
    <w:rsid w:val="00FD2616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C997C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94AB-28DD-4D29-AA6C-06A89B48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KATERINE VIVIANA GARCIA ORJUELA</cp:lastModifiedBy>
  <cp:revision>2</cp:revision>
  <cp:lastPrinted>2018-05-11T21:07:00Z</cp:lastPrinted>
  <dcterms:created xsi:type="dcterms:W3CDTF">2019-03-04T15:21:00Z</dcterms:created>
  <dcterms:modified xsi:type="dcterms:W3CDTF">2019-03-04T15:21:00Z</dcterms:modified>
</cp:coreProperties>
</file>