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E2740D">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387460" w:rsidRPr="00DA2A7A">
        <w:rPr>
          <w:rFonts w:ascii="Arial" w:hAnsi="Arial" w:cs="Arial"/>
          <w:b/>
          <w:color w:val="000000"/>
          <w:sz w:val="22"/>
          <w:szCs w:val="22"/>
          <w:shd w:val="clear" w:color="auto" w:fill="FFFFFF"/>
        </w:rPr>
        <w:t>Adquisición de insumos y reactivos para el laboratorio de biología y química, y de aguas, de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87460" w:rsidRPr="00DA2A7A">
        <w:rPr>
          <w:rFonts w:ascii="Arial" w:hAnsi="Arial" w:cs="Arial"/>
          <w:b/>
          <w:color w:val="000000"/>
          <w:sz w:val="22"/>
          <w:szCs w:val="22"/>
          <w:shd w:val="clear" w:color="auto" w:fill="FFFFFF"/>
        </w:rPr>
        <w:t>Adquisición de insumos y reactivos para el laboratorio de biología y química, y de aguas, de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87460" w:rsidRPr="00DA2A7A">
        <w:rPr>
          <w:rFonts w:ascii="Arial" w:hAnsi="Arial" w:cs="Arial"/>
          <w:b/>
          <w:color w:val="000000"/>
          <w:sz w:val="22"/>
          <w:szCs w:val="22"/>
          <w:shd w:val="clear" w:color="auto" w:fill="FFFFFF"/>
        </w:rPr>
        <w:t>Adquisición de insumos y reactivos para el laboratorio de biología y química, y de aguas, de la Universidad de Cundinamarca seccional Girardot</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87460" w:rsidRPr="00DA2A7A">
        <w:rPr>
          <w:rFonts w:ascii="Arial" w:hAnsi="Arial" w:cs="Arial"/>
          <w:b/>
          <w:color w:val="000000"/>
          <w:sz w:val="22"/>
          <w:szCs w:val="22"/>
          <w:shd w:val="clear" w:color="auto" w:fill="FFFFFF"/>
        </w:rPr>
        <w:t>Adquisición de insumos y reactivos para el laboratorio de biología y química, y de aguas, de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87460" w:rsidRPr="00DA2A7A">
        <w:rPr>
          <w:rFonts w:ascii="Arial" w:hAnsi="Arial" w:cs="Arial"/>
          <w:b/>
          <w:color w:val="000000"/>
          <w:sz w:val="22"/>
          <w:szCs w:val="22"/>
          <w:shd w:val="clear" w:color="auto" w:fill="FFFFFF"/>
        </w:rPr>
        <w:t>Adquisición de insumos y reactivos para el laboratorio de biología y química, y de aguas, de la Universidad de Cundinamarca seccional Girardot</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87460" w:rsidRPr="00DA2A7A">
        <w:rPr>
          <w:rFonts w:ascii="Arial" w:hAnsi="Arial" w:cs="Arial"/>
          <w:b/>
          <w:color w:val="000000"/>
          <w:sz w:val="22"/>
          <w:szCs w:val="22"/>
          <w:shd w:val="clear" w:color="auto" w:fill="FFFFFF"/>
        </w:rPr>
        <w:t>Adquisición de insumos y reactivos para el laboratorio de biología y química, y de aguas, de la Universidad de Cundinamarca seccional Girardot</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41" w:rsidRDefault="005A3C41" w:rsidP="0044036E">
      <w:r>
        <w:separator/>
      </w:r>
    </w:p>
  </w:endnote>
  <w:endnote w:type="continuationSeparator" w:id="0">
    <w:p w:rsidR="005A3C41" w:rsidRDefault="005A3C4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41" w:rsidRDefault="005A3C41" w:rsidP="0044036E">
      <w:r>
        <w:separator/>
      </w:r>
    </w:p>
  </w:footnote>
  <w:footnote w:type="continuationSeparator" w:id="0">
    <w:p w:rsidR="005A3C41" w:rsidRDefault="005A3C41"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3C41"/>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27D4-275F-484C-A28A-EA661139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2304</Words>
  <Characters>12675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9</cp:revision>
  <cp:lastPrinted>2018-12-04T13:00:00Z</cp:lastPrinted>
  <dcterms:created xsi:type="dcterms:W3CDTF">2019-06-19T20:51:00Z</dcterms:created>
  <dcterms:modified xsi:type="dcterms:W3CDTF">2019-08-29T20:48:00Z</dcterms:modified>
</cp:coreProperties>
</file>