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663020">
        <w:rPr>
          <w:rFonts w:ascii="Arial" w:hAnsi="Arial" w:cs="Arial"/>
          <w:sz w:val="22"/>
          <w:lang w:val="es-CO"/>
        </w:rPr>
        <w:t>07</w:t>
      </w:r>
      <w:r>
        <w:rPr>
          <w:rFonts w:ascii="Arial" w:hAnsi="Arial" w:cs="Arial"/>
          <w:sz w:val="22"/>
          <w:lang w:val="es-CO"/>
        </w:rPr>
        <w:t>-</w:t>
      </w:r>
      <w:r w:rsidR="00663020">
        <w:rPr>
          <w:rFonts w:ascii="Arial" w:hAnsi="Arial" w:cs="Arial"/>
          <w:sz w:val="22"/>
          <w:lang w:val="es-CO"/>
        </w:rPr>
        <w:t>15</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663020">
        <w:rPr>
          <w:rFonts w:ascii="Arial" w:hAnsi="Arial" w:cs="Arial"/>
          <w:i/>
          <w:sz w:val="22"/>
          <w:szCs w:val="22"/>
          <w:lang w:val="es-CO"/>
        </w:rPr>
        <w:t xml:space="preserve"> remitida en papel membreteado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663020">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663020">
              <w:rPr>
                <w:rFonts w:ascii="Arial" w:hAnsi="Arial" w:cs="Arial"/>
                <w:b/>
                <w:sz w:val="22"/>
                <w:szCs w:val="22"/>
                <w:lang w:val="es-CO"/>
              </w:rPr>
              <w:t>17</w:t>
            </w:r>
            <w:r w:rsidR="00AC2A81">
              <w:rPr>
                <w:rFonts w:ascii="Arial" w:hAnsi="Arial" w:cs="Arial"/>
                <w:b/>
                <w:sz w:val="22"/>
                <w:szCs w:val="22"/>
                <w:lang w:val="es-CO"/>
              </w:rPr>
              <w:t xml:space="preserve"> de </w:t>
            </w:r>
            <w:r w:rsidR="00663020">
              <w:rPr>
                <w:rFonts w:ascii="Arial" w:hAnsi="Arial" w:cs="Arial"/>
                <w:b/>
                <w:sz w:val="22"/>
                <w:szCs w:val="22"/>
                <w:lang w:val="es-CO"/>
              </w:rPr>
              <w:t>JULIO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663020" w:rsidP="00E06BF9">
            <w:pPr>
              <w:tabs>
                <w:tab w:val="left" w:pos="5640"/>
              </w:tabs>
              <w:jc w:val="both"/>
              <w:rPr>
                <w:rFonts w:ascii="Arial" w:hAnsi="Arial" w:cs="Arial"/>
                <w:sz w:val="22"/>
                <w:szCs w:val="22"/>
                <w:lang w:val="es-CO"/>
              </w:rPr>
            </w:pPr>
            <w:r w:rsidRPr="00663020">
              <w:rPr>
                <w:rFonts w:ascii="Arial" w:hAnsi="Arial" w:cs="Arial"/>
                <w:sz w:val="22"/>
                <w:szCs w:val="22"/>
                <w:lang w:val="es-CO"/>
              </w:rPr>
              <w:t>Suscripción a sistema de gestión bibliotecaria para las bibliotecas de la Universidad de Cundinamarca en su sede, seccionales y extensiones</w:t>
            </w:r>
            <w:r w:rsidR="000B622F">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663020" w:rsidP="00663020">
            <w:pPr>
              <w:pStyle w:val="Prrafodelista"/>
              <w:ind w:left="0"/>
              <w:jc w:val="both"/>
              <w:rPr>
                <w:rFonts w:ascii="Arial" w:hAnsi="Arial" w:cs="Arial"/>
                <w:sz w:val="22"/>
                <w:szCs w:val="22"/>
                <w:lang w:val="es-CO"/>
              </w:rPr>
            </w:pPr>
            <w:r w:rsidRPr="00663020">
              <w:rPr>
                <w:rFonts w:ascii="Arial" w:hAnsi="Arial" w:cs="Arial"/>
                <w:sz w:val="22"/>
                <w:szCs w:val="22"/>
                <w:lang w:val="es-CO"/>
              </w:rPr>
              <w:t xml:space="preserve">DIECIOCHO MILLONES CUATROCIENTOS QUINCE MIL OCHOCIENTOS CUARENTA Y CINCO PESOS </w:t>
            </w:r>
            <w:r w:rsidR="00DB5770">
              <w:rPr>
                <w:rFonts w:ascii="Arial" w:hAnsi="Arial" w:cs="Arial"/>
                <w:sz w:val="22"/>
                <w:szCs w:val="22"/>
                <w:lang w:val="es-CO"/>
              </w:rPr>
              <w:t>($</w:t>
            </w:r>
            <w:r>
              <w:rPr>
                <w:rFonts w:ascii="Arial" w:hAnsi="Arial" w:cs="Arial"/>
                <w:sz w:val="22"/>
                <w:szCs w:val="22"/>
                <w:lang w:val="es-CO"/>
              </w:rPr>
              <w:t>18.415.845</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05"/>
        <w:gridCol w:w="709"/>
        <w:gridCol w:w="992"/>
        <w:gridCol w:w="992"/>
        <w:gridCol w:w="1002"/>
        <w:gridCol w:w="709"/>
        <w:gridCol w:w="983"/>
        <w:gridCol w:w="1417"/>
      </w:tblGrid>
      <w:tr w:rsidR="00663020" w:rsidRPr="00663020" w:rsidTr="00DD2E5F">
        <w:trPr>
          <w:trHeight w:val="460"/>
        </w:trPr>
        <w:tc>
          <w:tcPr>
            <w:tcW w:w="567"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 xml:space="preserve">Ítem </w:t>
            </w:r>
          </w:p>
        </w:tc>
        <w:tc>
          <w:tcPr>
            <w:tcW w:w="2405"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Descripción del bien, Servicio u Obra (Especificaciones Técnicas, Medida, Referencia, Color, etc.)</w:t>
            </w:r>
          </w:p>
        </w:tc>
        <w:tc>
          <w:tcPr>
            <w:tcW w:w="709"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Cantidad</w:t>
            </w:r>
          </w:p>
        </w:tc>
        <w:tc>
          <w:tcPr>
            <w:tcW w:w="992"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Unidad de medida</w:t>
            </w:r>
          </w:p>
        </w:tc>
        <w:tc>
          <w:tcPr>
            <w:tcW w:w="992" w:type="dxa"/>
            <w:shd w:val="clear" w:color="000000" w:fill="0F3D38"/>
            <w:noWrap/>
            <w:vAlign w:val="center"/>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 Valor Unitario</w:t>
            </w:r>
          </w:p>
        </w:tc>
        <w:tc>
          <w:tcPr>
            <w:tcW w:w="1002"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Subtotal</w:t>
            </w:r>
          </w:p>
          <w:p w:rsidR="00663020" w:rsidRPr="00663020" w:rsidRDefault="00663020" w:rsidP="00663020">
            <w:pPr>
              <w:jc w:val="center"/>
              <w:rPr>
                <w:rFonts w:ascii="Arial" w:hAnsi="Arial" w:cs="Arial"/>
                <w:color w:val="FFFFFF"/>
                <w:lang w:val="es-CO" w:eastAsia="es-CO"/>
              </w:rPr>
            </w:pPr>
          </w:p>
        </w:tc>
        <w:tc>
          <w:tcPr>
            <w:tcW w:w="709"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Tarifa IVA </w:t>
            </w:r>
          </w:p>
        </w:tc>
        <w:tc>
          <w:tcPr>
            <w:tcW w:w="983"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IVA</w:t>
            </w:r>
          </w:p>
        </w:tc>
        <w:tc>
          <w:tcPr>
            <w:tcW w:w="1417"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Total</w:t>
            </w:r>
          </w:p>
        </w:tc>
      </w:tr>
      <w:tr w:rsidR="00663020" w:rsidRPr="00663020" w:rsidTr="00DD2E5F">
        <w:trPr>
          <w:trHeight w:val="347"/>
        </w:trPr>
        <w:tc>
          <w:tcPr>
            <w:tcW w:w="567" w:type="dxa"/>
            <w:shd w:val="clear" w:color="auto" w:fill="auto"/>
            <w:noWrap/>
            <w:vAlign w:val="center"/>
            <w:hideMark/>
          </w:tcPr>
          <w:p w:rsidR="00663020" w:rsidRPr="00663020" w:rsidRDefault="00663020" w:rsidP="00663020">
            <w:pPr>
              <w:jc w:val="center"/>
              <w:rPr>
                <w:rFonts w:ascii="Arial" w:hAnsi="Arial" w:cs="Arial"/>
                <w:color w:val="000000"/>
                <w:lang w:val="es-CO" w:eastAsia="es-CO"/>
              </w:rPr>
            </w:pPr>
            <w:r w:rsidRPr="00663020">
              <w:rPr>
                <w:rFonts w:ascii="Arial" w:hAnsi="Arial" w:cs="Arial"/>
                <w:color w:val="000000"/>
                <w:lang w:eastAsia="es-CO"/>
              </w:rPr>
              <w:t>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63020" w:rsidRPr="00663020" w:rsidRDefault="00663020" w:rsidP="00663020">
            <w:pPr>
              <w:jc w:val="both"/>
              <w:rPr>
                <w:rFonts w:ascii="Arial" w:hAnsi="Arial" w:cs="Arial"/>
                <w:color w:val="000000"/>
              </w:rPr>
            </w:pPr>
            <w:r w:rsidRPr="00663020">
              <w:rPr>
                <w:rFonts w:ascii="Arial" w:hAnsi="Arial" w:cs="Arial"/>
                <w:color w:val="000000"/>
              </w:rPr>
              <w:t>Suscripción y soporte té</w:t>
            </w:r>
            <w:r>
              <w:rPr>
                <w:rFonts w:ascii="Arial" w:hAnsi="Arial" w:cs="Arial"/>
                <w:color w:val="000000"/>
              </w:rPr>
              <w:t xml:space="preserve">cnico del sistema de gestión de </w:t>
            </w:r>
            <w:r w:rsidRPr="00663020">
              <w:rPr>
                <w:rFonts w:ascii="Arial" w:hAnsi="Arial" w:cs="Arial"/>
                <w:color w:val="000000"/>
              </w:rPr>
              <w:t>Biblioteca: El servicio incluye: Capacitación para todos los</w:t>
            </w:r>
            <w:r>
              <w:rPr>
                <w:rFonts w:ascii="Arial" w:hAnsi="Arial" w:cs="Arial"/>
                <w:color w:val="000000"/>
              </w:rPr>
              <w:t xml:space="preserve"> </w:t>
            </w:r>
            <w:r w:rsidRPr="00663020">
              <w:rPr>
                <w:rFonts w:ascii="Arial" w:hAnsi="Arial" w:cs="Arial"/>
                <w:color w:val="000000"/>
              </w:rPr>
              <w:t>actores del sistema en la</w:t>
            </w:r>
            <w:r>
              <w:rPr>
                <w:rFonts w:ascii="Arial" w:hAnsi="Arial" w:cs="Arial"/>
                <w:color w:val="000000"/>
              </w:rPr>
              <w:t xml:space="preserve">s actualizaciones del sistema Cambios en la </w:t>
            </w:r>
            <w:r w:rsidRPr="00663020">
              <w:rPr>
                <w:rFonts w:ascii="Arial" w:hAnsi="Arial" w:cs="Arial"/>
                <w:color w:val="000000"/>
              </w:rPr>
              <w:t>personalización de la plataforma Asistencia</w:t>
            </w:r>
          </w:p>
          <w:p w:rsidR="00663020" w:rsidRPr="00663020" w:rsidRDefault="00663020" w:rsidP="00663020">
            <w:pPr>
              <w:jc w:val="both"/>
              <w:rPr>
                <w:rFonts w:ascii="Arial" w:hAnsi="Arial" w:cs="Arial"/>
                <w:color w:val="000000"/>
              </w:rPr>
            </w:pPr>
            <w:r w:rsidRPr="00663020">
              <w:rPr>
                <w:rFonts w:ascii="Arial" w:hAnsi="Arial" w:cs="Arial"/>
                <w:color w:val="000000"/>
              </w:rPr>
              <w:t>en rutinas del si</w:t>
            </w:r>
            <w:r>
              <w:rPr>
                <w:rFonts w:ascii="Arial" w:hAnsi="Arial" w:cs="Arial"/>
                <w:color w:val="000000"/>
              </w:rPr>
              <w:t xml:space="preserve">stema Asistencia para errores e </w:t>
            </w:r>
            <w:r w:rsidRPr="00663020">
              <w:rPr>
                <w:rFonts w:ascii="Arial" w:hAnsi="Arial" w:cs="Arial"/>
                <w:color w:val="000000"/>
              </w:rPr>
              <w:t>inconsistencias del sistema Asistencia para soporte en</w:t>
            </w:r>
            <w:r>
              <w:rPr>
                <w:rFonts w:ascii="Arial" w:hAnsi="Arial" w:cs="Arial"/>
                <w:color w:val="000000"/>
              </w:rPr>
              <w:t xml:space="preserve"> </w:t>
            </w:r>
            <w:r w:rsidRPr="00663020">
              <w:rPr>
                <w:rFonts w:ascii="Arial" w:hAnsi="Arial" w:cs="Arial"/>
                <w:color w:val="000000"/>
              </w:rPr>
              <w:t>dispos</w:t>
            </w:r>
            <w:r>
              <w:rPr>
                <w:rFonts w:ascii="Arial" w:hAnsi="Arial" w:cs="Arial"/>
                <w:color w:val="000000"/>
              </w:rPr>
              <w:t>itivos adicionales al sistema (</w:t>
            </w:r>
            <w:r w:rsidRPr="00663020">
              <w:rPr>
                <w:rFonts w:ascii="Arial" w:hAnsi="Arial" w:cs="Arial"/>
                <w:color w:val="000000"/>
              </w:rPr>
              <w:t>Seguridad –</w:t>
            </w:r>
          </w:p>
          <w:p w:rsidR="00663020" w:rsidRPr="00663020" w:rsidRDefault="00663020" w:rsidP="00663020">
            <w:pPr>
              <w:jc w:val="both"/>
              <w:rPr>
                <w:rFonts w:ascii="Arial" w:hAnsi="Arial" w:cs="Arial"/>
                <w:color w:val="000000"/>
              </w:rPr>
            </w:pPr>
            <w:r w:rsidRPr="00663020">
              <w:rPr>
                <w:rFonts w:ascii="Arial" w:hAnsi="Arial" w:cs="Arial"/>
                <w:color w:val="000000"/>
              </w:rPr>
              <w:t>componen</w:t>
            </w:r>
            <w:r>
              <w:rPr>
                <w:rFonts w:ascii="Arial" w:hAnsi="Arial" w:cs="Arial"/>
                <w:color w:val="000000"/>
              </w:rPr>
              <w:t xml:space="preserve">tes </w:t>
            </w:r>
            <w:r w:rsidRPr="00663020">
              <w:rPr>
                <w:rFonts w:ascii="Arial" w:hAnsi="Arial" w:cs="Arial"/>
                <w:color w:val="000000"/>
              </w:rPr>
              <w:t>RFID) Actualización de versiones (Ultima</w:t>
            </w:r>
          </w:p>
          <w:p w:rsidR="00663020" w:rsidRPr="00663020" w:rsidRDefault="00663020" w:rsidP="00663020">
            <w:pPr>
              <w:jc w:val="both"/>
              <w:rPr>
                <w:rFonts w:ascii="Arial" w:hAnsi="Arial" w:cs="Arial"/>
                <w:color w:val="000000"/>
              </w:rPr>
            </w:pPr>
            <w:r>
              <w:rPr>
                <w:rFonts w:ascii="Arial" w:hAnsi="Arial" w:cs="Arial"/>
                <w:color w:val="000000"/>
              </w:rPr>
              <w:lastRenderedPageBreak/>
              <w:t>estable).</w:t>
            </w:r>
          </w:p>
          <w:p w:rsidR="00663020" w:rsidRPr="00663020" w:rsidRDefault="00663020" w:rsidP="00663020">
            <w:pPr>
              <w:jc w:val="both"/>
              <w:rPr>
                <w:rFonts w:ascii="Arial" w:hAnsi="Arial" w:cs="Arial"/>
                <w:color w:val="000000"/>
              </w:rPr>
            </w:pPr>
            <w:r w:rsidRPr="00663020">
              <w:rPr>
                <w:rFonts w:ascii="Arial" w:hAnsi="Arial" w:cs="Arial"/>
                <w:color w:val="000000"/>
              </w:rPr>
              <w:t>Rutinas de creación y restauración de Backups Asistencia y</w:t>
            </w:r>
          </w:p>
          <w:p w:rsidR="00663020" w:rsidRPr="00663020" w:rsidRDefault="00663020" w:rsidP="00663020">
            <w:pPr>
              <w:jc w:val="both"/>
              <w:rPr>
                <w:rFonts w:ascii="Arial" w:hAnsi="Arial" w:cs="Arial"/>
                <w:color w:val="000000"/>
              </w:rPr>
            </w:pPr>
            <w:r>
              <w:rPr>
                <w:rFonts w:ascii="Arial" w:hAnsi="Arial" w:cs="Arial"/>
                <w:color w:val="000000"/>
              </w:rPr>
              <w:t>seguimiento a protocolo SiP2 (</w:t>
            </w:r>
            <w:r w:rsidRPr="00663020">
              <w:rPr>
                <w:rFonts w:ascii="Arial" w:hAnsi="Arial" w:cs="Arial"/>
                <w:color w:val="000000"/>
              </w:rPr>
              <w:t>Auto préstamos) Inclusión y</w:t>
            </w:r>
          </w:p>
          <w:p w:rsidR="00663020" w:rsidRPr="00663020" w:rsidRDefault="00663020" w:rsidP="00663020">
            <w:pPr>
              <w:jc w:val="both"/>
              <w:rPr>
                <w:rFonts w:ascii="Arial" w:hAnsi="Arial" w:cs="Arial"/>
                <w:color w:val="000000"/>
              </w:rPr>
            </w:pPr>
            <w:r w:rsidRPr="00663020">
              <w:rPr>
                <w:rFonts w:ascii="Arial" w:hAnsi="Arial" w:cs="Arial"/>
                <w:color w:val="000000"/>
              </w:rPr>
              <w:t>monitoreo de nuevos Auto préstamos al sistema Dashboard</w:t>
            </w:r>
          </w:p>
          <w:p w:rsidR="00663020" w:rsidRPr="00663020" w:rsidRDefault="00663020" w:rsidP="00663020">
            <w:pPr>
              <w:jc w:val="both"/>
              <w:rPr>
                <w:rFonts w:ascii="Arial" w:hAnsi="Arial" w:cs="Arial"/>
                <w:color w:val="000000"/>
              </w:rPr>
            </w:pPr>
            <w:r w:rsidRPr="00663020">
              <w:rPr>
                <w:rFonts w:ascii="Arial" w:hAnsi="Arial" w:cs="Arial"/>
                <w:color w:val="000000"/>
              </w:rPr>
              <w:t>para visualización de estadísticas del sistema de Gestión de</w:t>
            </w:r>
          </w:p>
          <w:p w:rsidR="00663020" w:rsidRPr="00663020" w:rsidRDefault="00663020" w:rsidP="00663020">
            <w:pPr>
              <w:jc w:val="both"/>
              <w:rPr>
                <w:rFonts w:ascii="Arial" w:hAnsi="Arial" w:cs="Arial"/>
                <w:color w:val="000000"/>
              </w:rPr>
            </w:pPr>
            <w:r w:rsidRPr="00663020">
              <w:rPr>
                <w:rFonts w:ascii="Arial" w:hAnsi="Arial" w:cs="Arial"/>
                <w:color w:val="000000"/>
              </w:rPr>
              <w:t>bibliotecas</w:t>
            </w:r>
          </w:p>
          <w:p w:rsidR="00663020" w:rsidRPr="00663020" w:rsidRDefault="00663020" w:rsidP="00663020">
            <w:pPr>
              <w:jc w:val="both"/>
              <w:rPr>
                <w:rFonts w:ascii="Arial" w:hAnsi="Arial" w:cs="Arial"/>
                <w:color w:val="000000"/>
              </w:rPr>
            </w:pPr>
            <w:r w:rsidRPr="00663020">
              <w:rPr>
                <w:rFonts w:ascii="Arial" w:hAnsi="Arial" w:cs="Arial"/>
                <w:color w:val="000000"/>
              </w:rPr>
              <w:t>Migración</w:t>
            </w:r>
            <w:r w:rsidR="00DD2E5F">
              <w:rPr>
                <w:rFonts w:ascii="Arial" w:hAnsi="Arial" w:cs="Arial"/>
                <w:color w:val="000000"/>
              </w:rPr>
              <w:t xml:space="preserve"> de registros existente </w:t>
            </w:r>
            <w:r w:rsidRPr="00663020">
              <w:rPr>
                <w:rFonts w:ascii="Arial" w:hAnsi="Arial" w:cs="Arial"/>
                <w:color w:val="000000"/>
              </w:rPr>
              <w:t>aproximadamente</w:t>
            </w:r>
            <w:r w:rsidR="00DD2E5F">
              <w:rPr>
                <w:rFonts w:ascii="Arial" w:hAnsi="Arial" w:cs="Arial"/>
                <w:color w:val="000000"/>
              </w:rPr>
              <w:t xml:space="preserve"> 42.000 </w:t>
            </w:r>
            <w:r>
              <w:rPr>
                <w:rFonts w:ascii="Arial" w:hAnsi="Arial" w:cs="Arial"/>
                <w:color w:val="000000"/>
              </w:rPr>
              <w:t>de ser</w:t>
            </w:r>
            <w:r w:rsidRPr="00663020">
              <w:rPr>
                <w:rFonts w:ascii="Arial" w:hAnsi="Arial" w:cs="Arial"/>
                <w:color w:val="000000"/>
              </w:rPr>
              <w:t xml:space="preserve"> necesario</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663020" w:rsidRPr="00663020" w:rsidRDefault="009D2A64" w:rsidP="00663020">
            <w:pPr>
              <w:jc w:val="center"/>
              <w:rPr>
                <w:rFonts w:ascii="Arial" w:hAnsi="Arial" w:cs="Arial"/>
                <w:color w:val="000000"/>
              </w:rPr>
            </w:pPr>
            <w:r>
              <w:rPr>
                <w:rFonts w:ascii="Arial" w:hAnsi="Arial" w:cs="Arial"/>
                <w:color w:val="000000"/>
              </w:rPr>
              <w:lastRenderedPageBreak/>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663020" w:rsidRPr="00663020" w:rsidRDefault="00663020" w:rsidP="00663020">
            <w:pPr>
              <w:jc w:val="both"/>
              <w:rPr>
                <w:rFonts w:ascii="Arial" w:hAnsi="Arial" w:cs="Arial"/>
                <w:color w:val="000000"/>
              </w:rPr>
            </w:pPr>
            <w:r w:rsidRPr="00663020">
              <w:rPr>
                <w:rFonts w:ascii="Arial" w:hAnsi="Arial" w:cs="Arial"/>
                <w:color w:val="000000"/>
              </w:rPr>
              <w:t>UNIDAD</w:t>
            </w:r>
          </w:p>
        </w:tc>
        <w:tc>
          <w:tcPr>
            <w:tcW w:w="992" w:type="dxa"/>
            <w:shd w:val="clear" w:color="auto" w:fill="auto"/>
            <w:noWrap/>
            <w:vAlign w:val="center"/>
            <w:hideMark/>
          </w:tcPr>
          <w:p w:rsidR="00663020" w:rsidRPr="00663020" w:rsidRDefault="00663020" w:rsidP="00663020">
            <w:pPr>
              <w:jc w:val="both"/>
              <w:rPr>
                <w:rFonts w:ascii="Arial" w:hAnsi="Arial" w:cs="Arial"/>
                <w:color w:val="000000"/>
                <w:lang w:val="es-CO" w:eastAsia="es-CO"/>
              </w:rPr>
            </w:pPr>
          </w:p>
        </w:tc>
        <w:tc>
          <w:tcPr>
            <w:tcW w:w="1002" w:type="dxa"/>
          </w:tcPr>
          <w:p w:rsidR="00663020" w:rsidRPr="00663020" w:rsidRDefault="00663020" w:rsidP="00663020">
            <w:pPr>
              <w:jc w:val="both"/>
              <w:rPr>
                <w:rFonts w:ascii="Arial" w:hAnsi="Arial" w:cs="Arial"/>
                <w:color w:val="000000"/>
                <w:lang w:eastAsia="es-CO"/>
              </w:rPr>
            </w:pPr>
          </w:p>
        </w:tc>
        <w:tc>
          <w:tcPr>
            <w:tcW w:w="709" w:type="dxa"/>
          </w:tcPr>
          <w:p w:rsidR="00663020" w:rsidRPr="00663020" w:rsidRDefault="00663020" w:rsidP="00663020">
            <w:pPr>
              <w:jc w:val="both"/>
              <w:rPr>
                <w:rFonts w:ascii="Arial" w:hAnsi="Arial" w:cs="Arial"/>
                <w:color w:val="000000"/>
                <w:lang w:eastAsia="es-CO"/>
              </w:rPr>
            </w:pPr>
          </w:p>
        </w:tc>
        <w:tc>
          <w:tcPr>
            <w:tcW w:w="983" w:type="dxa"/>
          </w:tcPr>
          <w:p w:rsidR="00663020" w:rsidRPr="00663020" w:rsidRDefault="00663020" w:rsidP="00663020">
            <w:pPr>
              <w:jc w:val="both"/>
              <w:rPr>
                <w:rFonts w:ascii="Arial" w:hAnsi="Arial" w:cs="Arial"/>
                <w:color w:val="000000"/>
                <w:lang w:eastAsia="es-CO"/>
              </w:rPr>
            </w:pPr>
          </w:p>
        </w:tc>
        <w:tc>
          <w:tcPr>
            <w:tcW w:w="1417" w:type="dxa"/>
          </w:tcPr>
          <w:p w:rsidR="00663020" w:rsidRPr="00663020" w:rsidRDefault="00663020" w:rsidP="00663020">
            <w:pPr>
              <w:jc w:val="both"/>
              <w:rPr>
                <w:rFonts w:ascii="Arial" w:hAnsi="Arial" w:cs="Arial"/>
                <w:color w:val="000000"/>
                <w:lang w:eastAsia="es-CO"/>
              </w:rPr>
            </w:pPr>
          </w:p>
        </w:tc>
      </w:tr>
      <w:tr w:rsidR="00663020" w:rsidRPr="00663020" w:rsidTr="00DD2E5F">
        <w:trPr>
          <w:trHeight w:val="347"/>
        </w:trPr>
        <w:tc>
          <w:tcPr>
            <w:tcW w:w="8359" w:type="dxa"/>
            <w:gridSpan w:val="8"/>
            <w:tcBorders>
              <w:top w:val="single" w:sz="4" w:space="0" w:color="auto"/>
              <w:bottom w:val="single" w:sz="4" w:space="0" w:color="auto"/>
              <w:right w:val="single" w:sz="4" w:space="0" w:color="auto"/>
            </w:tcBorders>
          </w:tcPr>
          <w:p w:rsidR="00663020" w:rsidRPr="00663020" w:rsidRDefault="00663020" w:rsidP="00663020">
            <w:pPr>
              <w:jc w:val="right"/>
              <w:rPr>
                <w:rFonts w:ascii="Arial" w:hAnsi="Arial" w:cs="Arial"/>
                <w:b/>
                <w:color w:val="000000"/>
                <w:lang w:eastAsia="es-CO"/>
              </w:rPr>
            </w:pPr>
            <w:r w:rsidRPr="00663020">
              <w:rPr>
                <w:rFonts w:ascii="Arial" w:hAnsi="Arial" w:cs="Arial"/>
                <w:b/>
                <w:color w:val="000000"/>
                <w:lang w:eastAsia="es-CO"/>
              </w:rPr>
              <w:lastRenderedPageBreak/>
              <w:t>SUBTOTAL</w:t>
            </w:r>
          </w:p>
        </w:tc>
        <w:tc>
          <w:tcPr>
            <w:tcW w:w="1417" w:type="dxa"/>
            <w:tcBorders>
              <w:top w:val="single" w:sz="4" w:space="0" w:color="auto"/>
              <w:left w:val="single" w:sz="4" w:space="0" w:color="auto"/>
              <w:bottom w:val="single" w:sz="4" w:space="0" w:color="auto"/>
            </w:tcBorders>
          </w:tcPr>
          <w:p w:rsidR="00663020" w:rsidRPr="00663020" w:rsidRDefault="00663020" w:rsidP="00663020">
            <w:pPr>
              <w:jc w:val="center"/>
              <w:rPr>
                <w:rFonts w:ascii="Arial" w:hAnsi="Arial" w:cs="Arial"/>
                <w:color w:val="000000"/>
                <w:lang w:eastAsia="es-CO"/>
              </w:rPr>
            </w:pPr>
          </w:p>
        </w:tc>
      </w:tr>
      <w:tr w:rsidR="00663020" w:rsidRPr="00663020" w:rsidTr="00DD2E5F">
        <w:trPr>
          <w:trHeight w:val="347"/>
        </w:trPr>
        <w:tc>
          <w:tcPr>
            <w:tcW w:w="8359" w:type="dxa"/>
            <w:gridSpan w:val="8"/>
            <w:tcBorders>
              <w:top w:val="single" w:sz="4" w:space="0" w:color="auto"/>
            </w:tcBorders>
          </w:tcPr>
          <w:p w:rsidR="00663020" w:rsidRPr="00663020" w:rsidRDefault="00663020" w:rsidP="00663020">
            <w:pPr>
              <w:jc w:val="right"/>
              <w:rPr>
                <w:rFonts w:ascii="Arial" w:hAnsi="Arial" w:cs="Arial"/>
                <w:b/>
                <w:color w:val="000000"/>
                <w:lang w:eastAsia="es-CO"/>
              </w:rPr>
            </w:pPr>
            <w:r w:rsidRPr="00663020">
              <w:rPr>
                <w:rFonts w:ascii="Arial" w:hAnsi="Arial" w:cs="Arial"/>
                <w:b/>
                <w:color w:val="000000"/>
                <w:lang w:eastAsia="es-CO"/>
              </w:rPr>
              <w:t>IVA: __ (%)</w:t>
            </w:r>
          </w:p>
        </w:tc>
        <w:tc>
          <w:tcPr>
            <w:tcW w:w="1417" w:type="dxa"/>
            <w:tcBorders>
              <w:top w:val="single" w:sz="4" w:space="0" w:color="auto"/>
            </w:tcBorders>
          </w:tcPr>
          <w:p w:rsidR="00663020" w:rsidRPr="00663020" w:rsidRDefault="00663020" w:rsidP="00663020">
            <w:pPr>
              <w:jc w:val="center"/>
              <w:rPr>
                <w:rFonts w:ascii="Arial" w:hAnsi="Arial" w:cs="Arial"/>
                <w:color w:val="000000"/>
                <w:lang w:eastAsia="es-CO"/>
              </w:rPr>
            </w:pPr>
          </w:p>
        </w:tc>
      </w:tr>
      <w:tr w:rsidR="00663020" w:rsidRPr="00663020" w:rsidTr="00DD2E5F">
        <w:trPr>
          <w:trHeight w:val="347"/>
        </w:trPr>
        <w:tc>
          <w:tcPr>
            <w:tcW w:w="8359" w:type="dxa"/>
            <w:gridSpan w:val="8"/>
          </w:tcPr>
          <w:p w:rsidR="00663020" w:rsidRPr="00663020" w:rsidRDefault="00663020" w:rsidP="00663020">
            <w:pPr>
              <w:jc w:val="right"/>
              <w:rPr>
                <w:rFonts w:ascii="Arial" w:hAnsi="Arial" w:cs="Arial"/>
                <w:b/>
                <w:color w:val="000000"/>
                <w:lang w:eastAsia="es-CO"/>
              </w:rPr>
            </w:pPr>
            <w:r w:rsidRPr="00663020">
              <w:rPr>
                <w:rFonts w:ascii="Arial" w:hAnsi="Arial" w:cs="Arial"/>
                <w:b/>
                <w:color w:val="000000"/>
                <w:lang w:eastAsia="es-CO"/>
              </w:rPr>
              <w:t>VALOR TOTAL</w:t>
            </w:r>
          </w:p>
        </w:tc>
        <w:tc>
          <w:tcPr>
            <w:tcW w:w="1417" w:type="dxa"/>
          </w:tcPr>
          <w:p w:rsidR="00663020" w:rsidRPr="00663020" w:rsidRDefault="00663020" w:rsidP="00663020">
            <w:pPr>
              <w:jc w:val="center"/>
              <w:rPr>
                <w:rFonts w:ascii="Arial" w:hAnsi="Arial" w:cs="Arial"/>
                <w:color w:val="000000"/>
                <w:lang w:eastAsia="es-CO"/>
              </w:rPr>
            </w:pPr>
          </w:p>
        </w:tc>
      </w:tr>
    </w:tbl>
    <w:p w:rsidR="00221300" w:rsidRDefault="00221300" w:rsidP="004A758B">
      <w:pPr>
        <w:jc w:val="both"/>
        <w:rPr>
          <w:rFonts w:asciiTheme="minorHAnsi" w:eastAsiaTheme="minorHAnsi" w:hAnsiTheme="minorHAnsi" w:cstheme="minorBidi"/>
          <w:sz w:val="22"/>
          <w:szCs w:val="22"/>
          <w:lang w:val="es-CO" w:eastAsia="en-US"/>
        </w:rPr>
      </w:pPr>
      <w:r>
        <w:rPr>
          <w:lang w:val="es-CO"/>
        </w:rPr>
        <w:fldChar w:fldCharType="begin"/>
      </w:r>
      <w:r>
        <w:rPr>
          <w:lang w:val="es-CO"/>
        </w:rPr>
        <w:instrText xml:space="preserve"> LINK Excel.Sheet.12 "\\\\fusa48646\\CONTRATACIÓN DIRECTA JUNIO 19 EN ADELANTE\\JUNG\\2019\\MTO EQ. FOTOCOPIADO\\Consolidado de referencia de los equipos de Impresión y Fotocopiado.xlsx" "Hoja1!F1C1:F68C5" \a \f 4 \h  \* MERGEFORMAT </w:instrText>
      </w:r>
      <w:r>
        <w:rPr>
          <w:lang w:val="es-CO"/>
        </w:rPr>
        <w:fldChar w:fldCharType="separate"/>
      </w:r>
    </w:p>
    <w:p w:rsidR="00AC2A81" w:rsidRPr="007452FA" w:rsidRDefault="00221300" w:rsidP="004A758B">
      <w:pPr>
        <w:jc w:val="both"/>
        <w:rPr>
          <w:rFonts w:ascii="Arial" w:hAnsi="Arial" w:cs="Arial"/>
          <w:sz w:val="22"/>
          <w:szCs w:val="22"/>
          <w:lang w:val="es-CO"/>
        </w:rPr>
      </w:pPr>
      <w:r>
        <w:rPr>
          <w:rFonts w:ascii="Arial" w:hAnsi="Arial" w:cs="Arial"/>
          <w:sz w:val="22"/>
          <w:szCs w:val="22"/>
          <w:lang w:val="es-CO"/>
        </w:rPr>
        <w:fldChar w:fldCharType="end"/>
      </w: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DD2E5F" w:rsidP="00BB19AA">
            <w:pPr>
              <w:tabs>
                <w:tab w:val="left" w:pos="3784"/>
                <w:tab w:val="center" w:pos="3999"/>
              </w:tabs>
              <w:jc w:val="both"/>
              <w:rPr>
                <w:rFonts w:ascii="Arial" w:hAnsi="Arial" w:cs="Arial"/>
                <w:b/>
                <w:sz w:val="22"/>
                <w:szCs w:val="22"/>
                <w:lang w:val="es-CO"/>
              </w:rPr>
            </w:pPr>
            <w:r>
              <w:rPr>
                <w:rFonts w:ascii="Arial" w:hAnsi="Arial" w:cs="Arial"/>
                <w:b/>
                <w:sz w:val="22"/>
                <w:szCs w:val="22"/>
                <w:lang w:val="es-CO"/>
              </w:rPr>
              <w:t xml:space="preserve">Este servicio se encuentra activo mediante contrato F-OCS-133 de 2018, Hasta el </w:t>
            </w:r>
            <w:r w:rsidR="00035614">
              <w:rPr>
                <w:rFonts w:ascii="Arial" w:hAnsi="Arial" w:cs="Arial"/>
                <w:b/>
                <w:sz w:val="22"/>
                <w:szCs w:val="22"/>
                <w:lang w:val="es-CO"/>
              </w:rPr>
              <w:t>30</w:t>
            </w:r>
            <w:r>
              <w:rPr>
                <w:rFonts w:ascii="Arial" w:hAnsi="Arial" w:cs="Arial"/>
                <w:b/>
                <w:sz w:val="22"/>
                <w:szCs w:val="22"/>
                <w:lang w:val="es-CO"/>
              </w:rPr>
              <w:t xml:space="preserve"> de noviembre de 2019, por lo anterior, la ejecución inicia a partir del </w:t>
            </w:r>
            <w:r w:rsidR="00035614">
              <w:rPr>
                <w:rFonts w:ascii="Arial" w:hAnsi="Arial" w:cs="Arial"/>
                <w:b/>
                <w:sz w:val="22"/>
                <w:szCs w:val="22"/>
                <w:lang w:val="es-CO"/>
              </w:rPr>
              <w:t>30</w:t>
            </w:r>
            <w:bookmarkStart w:id="0" w:name="_GoBack"/>
            <w:bookmarkEnd w:id="0"/>
            <w:r>
              <w:rPr>
                <w:rFonts w:ascii="Arial" w:hAnsi="Arial" w:cs="Arial"/>
                <w:b/>
                <w:sz w:val="22"/>
                <w:szCs w:val="22"/>
                <w:lang w:val="es-CO"/>
              </w:rPr>
              <w:t xml:space="preserve"> de noviembre de 2019</w:t>
            </w:r>
          </w:p>
          <w:p w:rsidR="00DD2E5F" w:rsidRPr="00DD2E5F" w:rsidRDefault="00DD2E5F" w:rsidP="00DD2E5F">
            <w:pPr>
              <w:tabs>
                <w:tab w:val="left" w:pos="3784"/>
                <w:tab w:val="center" w:pos="3999"/>
              </w:tabs>
              <w:jc w:val="both"/>
              <w:rPr>
                <w:rFonts w:ascii="Arial" w:hAnsi="Arial" w:cs="Arial"/>
                <w:b/>
                <w:sz w:val="22"/>
                <w:szCs w:val="22"/>
                <w:lang w:val="es-CO"/>
              </w:rPr>
            </w:pPr>
            <w:r w:rsidRPr="00DD2E5F">
              <w:rPr>
                <w:rFonts w:ascii="Arial" w:hAnsi="Arial" w:cs="Arial"/>
                <w:b/>
                <w:sz w:val="22"/>
                <w:szCs w:val="22"/>
                <w:lang w:val="es-CO"/>
              </w:rPr>
              <w:t>se debe garantizar el desarrollo y funcionamiento del sistema toda vez que el existente tiene una antigüedad de aproximadamente 5 años, en el cual reposa</w:t>
            </w:r>
          </w:p>
          <w:p w:rsidR="00DD2E5F" w:rsidRPr="0021637E" w:rsidRDefault="00DD2E5F" w:rsidP="00DD2E5F">
            <w:pPr>
              <w:tabs>
                <w:tab w:val="left" w:pos="3784"/>
                <w:tab w:val="center" w:pos="3999"/>
              </w:tabs>
              <w:jc w:val="both"/>
              <w:rPr>
                <w:rFonts w:ascii="Arial" w:hAnsi="Arial" w:cs="Arial"/>
                <w:b/>
                <w:sz w:val="22"/>
                <w:szCs w:val="22"/>
                <w:lang w:val="es-CO"/>
              </w:rPr>
            </w:pPr>
            <w:r w:rsidRPr="00DD2E5F">
              <w:rPr>
                <w:rFonts w:ascii="Arial" w:hAnsi="Arial" w:cs="Arial"/>
                <w:b/>
                <w:sz w:val="22"/>
                <w:szCs w:val="22"/>
                <w:lang w:val="es-CO"/>
              </w:rPr>
              <w:t>el material bibliográfico, material audiovisual y trabajos de grado los que se encuentran a disposición de toda la comunidad</w:t>
            </w:r>
            <w:r>
              <w:rPr>
                <w:rFonts w:ascii="Arial" w:hAnsi="Arial" w:cs="Arial"/>
                <w:b/>
                <w:sz w:val="22"/>
                <w:szCs w:val="22"/>
                <w:lang w:val="es-CO"/>
              </w:rPr>
              <w:t xml:space="preserve"> académica de la Universidad de </w:t>
            </w:r>
            <w:r w:rsidRPr="00DD2E5F">
              <w:rPr>
                <w:rFonts w:ascii="Arial" w:hAnsi="Arial" w:cs="Arial"/>
                <w:b/>
                <w:sz w:val="22"/>
                <w:szCs w:val="22"/>
                <w:lang w:val="es-CO"/>
              </w:rPr>
              <w:t xml:space="preserve">Cundinamarca mediante el catálogo en línea (OPAC) que está alojado en la dirección URL </w:t>
            </w:r>
            <w:hyperlink r:id="rId8" w:history="1">
              <w:r w:rsidRPr="003C6729">
                <w:rPr>
                  <w:rStyle w:val="Hipervnculo"/>
                  <w:rFonts w:ascii="Arial" w:hAnsi="Arial" w:cs="Arial"/>
                  <w:b/>
                  <w:sz w:val="22"/>
                  <w:szCs w:val="22"/>
                  <w:lang w:val="es-CO"/>
                </w:rPr>
                <w:t>http://108.175.11.213/</w:t>
              </w:r>
            </w:hyperlink>
            <w:r>
              <w:rPr>
                <w:rFonts w:ascii="Arial" w:hAnsi="Arial" w:cs="Arial"/>
                <w:b/>
                <w:sz w:val="22"/>
                <w:szCs w:val="22"/>
                <w:lang w:val="es-CO"/>
              </w:rPr>
              <w:t xml:space="preserve"> </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A6693" w:rsidRPr="007452FA" w:rsidRDefault="000B622F" w:rsidP="00FF0DF0">
            <w:pPr>
              <w:jc w:val="both"/>
              <w:rPr>
                <w:rFonts w:ascii="Arial" w:hAnsi="Arial" w:cs="Arial"/>
                <w:sz w:val="22"/>
                <w:szCs w:val="22"/>
                <w:lang w:val="es-CO"/>
              </w:rPr>
            </w:pPr>
            <w:r w:rsidRPr="000B622F">
              <w:rPr>
                <w:rFonts w:ascii="Arial" w:hAnsi="Arial" w:cs="Arial"/>
                <w:sz w:val="22"/>
                <w:szCs w:val="22"/>
                <w:lang w:val="es-CO"/>
              </w:rPr>
              <w:t>Universidad de Cundinamarca Sede, Seccionales, Extensiones y Oficina de Convenios y Relaciones Interinstitucionales de Bogotá</w:t>
            </w:r>
            <w:r w:rsidR="009D2447">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D2E5F" w:rsidRPr="00DD2E5F" w:rsidRDefault="00DD2E5F" w:rsidP="00DD2E5F">
            <w:pPr>
              <w:jc w:val="both"/>
              <w:rPr>
                <w:rFonts w:ascii="Arial" w:hAnsi="Arial" w:cs="Arial"/>
                <w:sz w:val="22"/>
                <w:szCs w:val="22"/>
                <w:lang w:val="es-CO"/>
              </w:rPr>
            </w:pPr>
            <w:r w:rsidRPr="00DD2E5F">
              <w:rPr>
                <w:rFonts w:ascii="Arial" w:hAnsi="Arial" w:cs="Arial"/>
                <w:sz w:val="22"/>
                <w:szCs w:val="22"/>
                <w:lang w:val="es-CO"/>
              </w:rPr>
              <w:t>El plazo d ejecución será de dos meses (2)</w:t>
            </w:r>
            <w:r>
              <w:rPr>
                <w:rFonts w:ascii="Arial" w:hAnsi="Arial" w:cs="Arial"/>
                <w:sz w:val="22"/>
                <w:szCs w:val="22"/>
                <w:lang w:val="es-CO"/>
              </w:rPr>
              <w:t xml:space="preserve">, </w:t>
            </w:r>
            <w:r w:rsidRPr="00DD2E5F">
              <w:rPr>
                <w:rFonts w:ascii="Arial" w:hAnsi="Arial" w:cs="Arial"/>
                <w:sz w:val="22"/>
                <w:szCs w:val="22"/>
                <w:lang w:val="es-CO"/>
              </w:rPr>
              <w:t>contados a partir del cumplimiento de los requisitos de perfeccionamiento y ejecución del contrato. El servicio</w:t>
            </w:r>
          </w:p>
          <w:p w:rsidR="00BA6693" w:rsidRPr="007452FA" w:rsidRDefault="00DD2E5F" w:rsidP="00B91DD5">
            <w:pPr>
              <w:jc w:val="both"/>
              <w:rPr>
                <w:rFonts w:ascii="Arial" w:hAnsi="Arial" w:cs="Arial"/>
                <w:sz w:val="22"/>
                <w:szCs w:val="22"/>
                <w:lang w:val="es-CO"/>
              </w:rPr>
            </w:pPr>
            <w:r w:rsidRPr="00DD2E5F">
              <w:rPr>
                <w:rFonts w:ascii="Arial" w:hAnsi="Arial" w:cs="Arial"/>
                <w:sz w:val="22"/>
                <w:szCs w:val="22"/>
                <w:lang w:val="es-CO"/>
              </w:rPr>
              <w:t>tendrá una duración de doce (12) meses</w:t>
            </w:r>
            <w:r w:rsidR="00B91DD5">
              <w:rPr>
                <w:rFonts w:ascii="Arial" w:hAnsi="Arial" w:cs="Arial"/>
                <w:sz w:val="22"/>
                <w:szCs w:val="22"/>
                <w:lang w:val="es-CO"/>
              </w:rPr>
              <w:t xml:space="preserve"> a partir del 30 de noviembre de 2019</w:t>
            </w:r>
            <w:r w:rsidR="00E253BB">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E253BB" w:rsidRPr="00E253BB" w:rsidRDefault="00E253BB" w:rsidP="00E253BB">
            <w:pPr>
              <w:pStyle w:val="Prrafodelista"/>
              <w:numPr>
                <w:ilvl w:val="0"/>
                <w:numId w:val="16"/>
              </w:numPr>
              <w:jc w:val="both"/>
              <w:rPr>
                <w:rFonts w:ascii="Arial" w:hAnsi="Arial" w:cs="Arial"/>
                <w:sz w:val="22"/>
                <w:szCs w:val="22"/>
                <w:lang w:val="es-CO"/>
              </w:rPr>
            </w:pPr>
            <w:r w:rsidRPr="00E253BB">
              <w:rPr>
                <w:rFonts w:ascii="Arial" w:hAnsi="Arial" w:cs="Arial"/>
                <w:sz w:val="22"/>
                <w:szCs w:val="22"/>
                <w:lang w:val="es-CO"/>
              </w:rPr>
              <w:t>Realizar la migración de datos existentes aproximadamente 42.000 (de ser necesario)</w:t>
            </w:r>
            <w:r>
              <w:rPr>
                <w:rFonts w:ascii="Arial" w:hAnsi="Arial" w:cs="Arial"/>
                <w:sz w:val="22"/>
                <w:szCs w:val="22"/>
                <w:lang w:val="es-CO"/>
              </w:rPr>
              <w:t>.</w:t>
            </w:r>
          </w:p>
          <w:p w:rsidR="00E253BB" w:rsidRPr="00E253BB" w:rsidRDefault="00E253BB" w:rsidP="00E253BB">
            <w:pPr>
              <w:pStyle w:val="Prrafodelista"/>
              <w:numPr>
                <w:ilvl w:val="0"/>
                <w:numId w:val="16"/>
              </w:numPr>
              <w:jc w:val="both"/>
              <w:rPr>
                <w:rFonts w:ascii="Arial" w:hAnsi="Arial" w:cs="Arial"/>
                <w:sz w:val="22"/>
                <w:szCs w:val="22"/>
                <w:lang w:val="es-CO"/>
              </w:rPr>
            </w:pPr>
            <w:r w:rsidRPr="00E253BB">
              <w:rPr>
                <w:rFonts w:ascii="Arial" w:hAnsi="Arial" w:cs="Arial"/>
                <w:sz w:val="22"/>
                <w:szCs w:val="22"/>
                <w:lang w:val="es-CO"/>
              </w:rPr>
              <w:t>Realizar soporte técnico del sistema por medio de ticket las 24 horas del día los siete días de la semana durante la prestación del servicio UN (1) año</w:t>
            </w:r>
            <w:r>
              <w:rPr>
                <w:rFonts w:ascii="Arial" w:hAnsi="Arial" w:cs="Arial"/>
                <w:sz w:val="22"/>
                <w:szCs w:val="22"/>
                <w:lang w:val="es-CO"/>
              </w:rPr>
              <w:t xml:space="preserve"> </w:t>
            </w:r>
            <w:r w:rsidRPr="00E253BB">
              <w:rPr>
                <w:rFonts w:ascii="Arial" w:hAnsi="Arial" w:cs="Arial"/>
                <w:sz w:val="22"/>
                <w:szCs w:val="22"/>
                <w:lang w:val="es-CO"/>
              </w:rPr>
              <w:t>sin que esto genere costos adicionales a la Universidad de Cundinamarca</w:t>
            </w:r>
            <w:r>
              <w:rPr>
                <w:rFonts w:ascii="Arial" w:hAnsi="Arial" w:cs="Arial"/>
                <w:sz w:val="22"/>
                <w:szCs w:val="22"/>
                <w:lang w:val="es-CO"/>
              </w:rPr>
              <w:t>.</w:t>
            </w:r>
          </w:p>
          <w:p w:rsidR="00E253BB" w:rsidRPr="00E253BB" w:rsidRDefault="00E253BB" w:rsidP="00E253BB">
            <w:pPr>
              <w:pStyle w:val="Prrafodelista"/>
              <w:numPr>
                <w:ilvl w:val="0"/>
                <w:numId w:val="16"/>
              </w:numPr>
              <w:jc w:val="both"/>
              <w:rPr>
                <w:rFonts w:ascii="Arial" w:hAnsi="Arial" w:cs="Arial"/>
                <w:sz w:val="22"/>
                <w:szCs w:val="22"/>
                <w:lang w:val="es-CO"/>
              </w:rPr>
            </w:pPr>
            <w:r w:rsidRPr="00E253BB">
              <w:rPr>
                <w:rFonts w:ascii="Arial" w:hAnsi="Arial" w:cs="Arial"/>
                <w:sz w:val="22"/>
                <w:szCs w:val="22"/>
                <w:lang w:val="es-CO"/>
              </w:rPr>
              <w:t>Realizar capacitación virtual al personal de Biblioteca cuando se presenten cambios o novedades en el sistema</w:t>
            </w:r>
            <w:r>
              <w:rPr>
                <w:rFonts w:ascii="Arial" w:hAnsi="Arial" w:cs="Arial"/>
                <w:sz w:val="22"/>
                <w:szCs w:val="22"/>
                <w:lang w:val="es-CO"/>
              </w:rPr>
              <w:t>.</w:t>
            </w:r>
          </w:p>
          <w:p w:rsidR="00E253BB" w:rsidRPr="00E253BB" w:rsidRDefault="00E253BB" w:rsidP="00E253BB">
            <w:pPr>
              <w:pStyle w:val="Prrafodelista"/>
              <w:numPr>
                <w:ilvl w:val="0"/>
                <w:numId w:val="16"/>
              </w:numPr>
              <w:jc w:val="both"/>
              <w:rPr>
                <w:rFonts w:ascii="Arial" w:hAnsi="Arial" w:cs="Arial"/>
                <w:sz w:val="22"/>
                <w:szCs w:val="22"/>
                <w:lang w:val="es-CO"/>
              </w:rPr>
            </w:pPr>
            <w:r w:rsidRPr="00E253BB">
              <w:rPr>
                <w:rFonts w:ascii="Arial" w:hAnsi="Arial" w:cs="Arial"/>
                <w:sz w:val="22"/>
                <w:szCs w:val="22"/>
                <w:lang w:val="es-CO"/>
              </w:rPr>
              <w:t>Las demás que se deriven de la ley y la naturaleza del, SERVICIO a contratar</w:t>
            </w:r>
            <w:r>
              <w:rPr>
                <w:rFonts w:ascii="Arial" w:hAnsi="Arial" w:cs="Arial"/>
                <w:sz w:val="22"/>
                <w:szCs w:val="22"/>
                <w:lang w:val="es-CO"/>
              </w:rPr>
              <w:t>.</w:t>
            </w:r>
          </w:p>
          <w:p w:rsidR="00E253BB" w:rsidRPr="00E253BB" w:rsidRDefault="00E253BB" w:rsidP="00E253BB">
            <w:pPr>
              <w:pStyle w:val="Prrafodelista"/>
              <w:numPr>
                <w:ilvl w:val="0"/>
                <w:numId w:val="16"/>
              </w:numPr>
              <w:jc w:val="both"/>
              <w:rPr>
                <w:rFonts w:ascii="Arial" w:hAnsi="Arial" w:cs="Arial"/>
                <w:sz w:val="22"/>
                <w:szCs w:val="22"/>
                <w:lang w:val="es-CO"/>
              </w:rPr>
            </w:pPr>
            <w:r w:rsidRPr="00E253BB">
              <w:rPr>
                <w:rFonts w:ascii="Arial" w:hAnsi="Arial" w:cs="Arial"/>
                <w:sz w:val="22"/>
                <w:szCs w:val="22"/>
                <w:lang w:val="es-CO"/>
              </w:rPr>
              <w:lastRenderedPageBreak/>
              <w:t>Brindar funcionamiento y consultas sobre el funcionamiento de la aplicación, y configuración del sistema.</w:t>
            </w:r>
          </w:p>
          <w:p w:rsidR="00E253BB" w:rsidRPr="00E253BB" w:rsidRDefault="00E253BB" w:rsidP="00E253BB">
            <w:pPr>
              <w:pStyle w:val="Prrafodelista"/>
              <w:numPr>
                <w:ilvl w:val="0"/>
                <w:numId w:val="16"/>
              </w:numPr>
              <w:jc w:val="both"/>
              <w:rPr>
                <w:rFonts w:ascii="Arial" w:hAnsi="Arial" w:cs="Arial"/>
                <w:sz w:val="22"/>
                <w:szCs w:val="22"/>
                <w:lang w:val="es-CO"/>
              </w:rPr>
            </w:pPr>
            <w:r w:rsidRPr="00E253BB">
              <w:rPr>
                <w:rFonts w:ascii="Arial" w:hAnsi="Arial" w:cs="Arial"/>
                <w:sz w:val="22"/>
                <w:szCs w:val="22"/>
                <w:lang w:val="es-CO"/>
              </w:rPr>
              <w:t>Brindar soporte en recuperación de datos, bloqueo base de datos, reportes de errores de funcionalidad, caídas del sistema, mal funcionamiento del</w:t>
            </w:r>
          </w:p>
          <w:p w:rsidR="00E253BB" w:rsidRPr="00E253BB" w:rsidRDefault="00E253BB" w:rsidP="00E253BB">
            <w:pPr>
              <w:pStyle w:val="Prrafodelista"/>
              <w:jc w:val="both"/>
              <w:rPr>
                <w:rFonts w:ascii="Arial" w:hAnsi="Arial" w:cs="Arial"/>
                <w:sz w:val="22"/>
                <w:szCs w:val="22"/>
                <w:lang w:val="es-CO"/>
              </w:rPr>
            </w:pPr>
            <w:r w:rsidRPr="00E253BB">
              <w:rPr>
                <w:rFonts w:ascii="Arial" w:hAnsi="Arial" w:cs="Arial"/>
                <w:sz w:val="22"/>
                <w:szCs w:val="22"/>
                <w:lang w:val="es-CO"/>
              </w:rPr>
              <w:t>Sistema</w:t>
            </w:r>
            <w:r>
              <w:rPr>
                <w:rFonts w:ascii="Arial" w:hAnsi="Arial" w:cs="Arial"/>
                <w:sz w:val="22"/>
                <w:szCs w:val="22"/>
                <w:lang w:val="es-CO"/>
              </w:rPr>
              <w:t>.</w:t>
            </w:r>
          </w:p>
          <w:p w:rsidR="00BA6693" w:rsidRPr="000B622F" w:rsidRDefault="00E253BB" w:rsidP="00E253BB">
            <w:pPr>
              <w:pStyle w:val="Prrafodelista"/>
              <w:numPr>
                <w:ilvl w:val="0"/>
                <w:numId w:val="16"/>
              </w:numPr>
              <w:jc w:val="both"/>
              <w:rPr>
                <w:rFonts w:ascii="Arial" w:hAnsi="Arial" w:cs="Arial"/>
                <w:sz w:val="22"/>
                <w:szCs w:val="22"/>
                <w:lang w:val="es-CO"/>
              </w:rPr>
            </w:pPr>
            <w:r w:rsidRPr="00E253BB">
              <w:rPr>
                <w:rFonts w:ascii="Arial" w:hAnsi="Arial" w:cs="Arial"/>
                <w:sz w:val="22"/>
                <w:szCs w:val="22"/>
                <w:lang w:val="es-CO"/>
              </w:rPr>
              <w:t>Brindar actualización de versiones del programa que incluyen nuevas funcionalidades y características</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8"/>
        <w:gridCol w:w="2149"/>
        <w:gridCol w:w="2149"/>
        <w:gridCol w:w="1670"/>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E253BB" w:rsidP="004A758B">
            <w:pPr>
              <w:rPr>
                <w:rFonts w:ascii="Arial" w:hAnsi="Arial" w:cs="Arial"/>
                <w:sz w:val="22"/>
                <w:szCs w:val="22"/>
                <w:lang w:val="es-CO"/>
              </w:rPr>
            </w:pPr>
            <w:r>
              <w:rPr>
                <w:rFonts w:ascii="Arial" w:hAnsi="Arial" w:cs="Arial"/>
                <w:sz w:val="22"/>
                <w:szCs w:val="22"/>
                <w:lang w:val="es-CO"/>
              </w:rPr>
              <w:t xml:space="preserve">Un único pago de acuerdo a la prestación efectiva del servicio.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AD7E67" w:rsidRPr="007452FA" w:rsidRDefault="009D2447" w:rsidP="009D2447">
      <w:pPr>
        <w:pStyle w:val="Prrafodelista"/>
        <w:ind w:left="0"/>
        <w:jc w:val="both"/>
        <w:rPr>
          <w:rFonts w:ascii="Arial" w:hAnsi="Arial" w:cs="Arial"/>
          <w:color w:val="000000" w:themeColor="text1"/>
          <w:sz w:val="22"/>
          <w:szCs w:val="22"/>
          <w:lang w:val="es-CO"/>
        </w:rPr>
      </w:pPr>
      <w:r>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D0482B" w:rsidRPr="007452FA" w:rsidRDefault="00D0482B">
      <w:pPr>
        <w:rPr>
          <w:rFonts w:ascii="Arial" w:hAnsi="Arial" w:cs="Arial"/>
          <w:color w:val="000000" w:themeColor="text1"/>
          <w:sz w:val="22"/>
          <w:szCs w:val="22"/>
          <w:lang w:val="es-CO"/>
        </w:rPr>
      </w:pPr>
    </w:p>
    <w:sectPr w:rsidR="00D0482B" w:rsidRPr="007452FA" w:rsidSect="009D2447">
      <w:headerReference w:type="default" r:id="rId9"/>
      <w:footerReference w:type="default" r:id="rId10"/>
      <w:pgSz w:w="12240" w:h="15840"/>
      <w:pgMar w:top="2268" w:right="1750" w:bottom="1701" w:left="156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F98" w:rsidRDefault="00846F98" w:rsidP="0044036E">
      <w:r>
        <w:separator/>
      </w:r>
    </w:p>
  </w:endnote>
  <w:endnote w:type="continuationSeparator" w:id="0">
    <w:p w:rsidR="00846F98" w:rsidRDefault="00846F9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Pr="00014059" w:rsidRDefault="00D0482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0482B" w:rsidRPr="00014059" w:rsidRDefault="00DD2E5F" w:rsidP="008463EC">
    <w:pPr>
      <w:jc w:val="center"/>
      <w:rPr>
        <w:rFonts w:ascii="Arial" w:hAnsi="Arial" w:cs="Arial"/>
        <w:sz w:val="16"/>
        <w:szCs w:val="16"/>
      </w:rPr>
    </w:pPr>
    <w:r>
      <w:rPr>
        <w:rFonts w:ascii="Arial" w:hAnsi="Arial" w:cs="Arial"/>
        <w:sz w:val="16"/>
        <w:szCs w:val="16"/>
      </w:rPr>
      <w:t xml:space="preserve">  Teléfono (091) 8281483</w:t>
    </w:r>
    <w:r w:rsidR="00D0482B" w:rsidRPr="00014059">
      <w:rPr>
        <w:rFonts w:ascii="Arial" w:hAnsi="Arial" w:cs="Arial"/>
        <w:sz w:val="16"/>
        <w:szCs w:val="16"/>
      </w:rPr>
      <w:t xml:space="preserve"> Línea Gratuita 018000180414                                                                                                                              </w:t>
    </w:r>
  </w:p>
  <w:p w:rsidR="00D0482B" w:rsidRPr="00014059" w:rsidRDefault="00846F98" w:rsidP="00447B61">
    <w:pPr>
      <w:jc w:val="center"/>
      <w:rPr>
        <w:rFonts w:ascii="Arial" w:hAnsi="Arial" w:cs="Arial"/>
        <w:sz w:val="16"/>
        <w:szCs w:val="16"/>
      </w:rPr>
    </w:pPr>
    <w:hyperlink r:id="rId1" w:history="1">
      <w:r w:rsidR="00D0482B" w:rsidRPr="00E22AA6">
        <w:rPr>
          <w:rStyle w:val="Hipervnculo"/>
          <w:rFonts w:ascii="Arial" w:hAnsi="Arial" w:cs="Arial"/>
          <w:sz w:val="16"/>
          <w:szCs w:val="16"/>
        </w:rPr>
        <w:t>www.ucundinamarca.edu.co</w:t>
      </w:r>
    </w:hyperlink>
    <w:r w:rsidR="00D0482B">
      <w:rPr>
        <w:rFonts w:ascii="Arial" w:hAnsi="Arial" w:cs="Arial"/>
        <w:sz w:val="16"/>
        <w:szCs w:val="16"/>
      </w:rPr>
      <w:t xml:space="preserve"> </w:t>
    </w:r>
    <w:r w:rsidR="00D0482B" w:rsidRPr="00014059">
      <w:rPr>
        <w:rFonts w:ascii="Arial" w:hAnsi="Arial" w:cs="Arial"/>
        <w:sz w:val="16"/>
        <w:szCs w:val="16"/>
      </w:rPr>
      <w:t xml:space="preserve">  E-mail: </w:t>
    </w:r>
    <w:hyperlink r:id="rId2" w:history="1">
      <w:r w:rsidR="00D0482B" w:rsidRPr="00E22AA6">
        <w:rPr>
          <w:rStyle w:val="Hipervnculo"/>
          <w:rFonts w:ascii="Arial" w:hAnsi="Arial" w:cs="Arial"/>
          <w:sz w:val="16"/>
          <w:szCs w:val="16"/>
        </w:rPr>
        <w:t>info@ucundinamarca.edu.co</w:t>
      </w:r>
    </w:hyperlink>
    <w:r w:rsidR="00D0482B">
      <w:rPr>
        <w:rFonts w:ascii="Arial" w:hAnsi="Arial" w:cs="Arial"/>
        <w:sz w:val="16"/>
        <w:szCs w:val="16"/>
      </w:rPr>
      <w:t xml:space="preserve"> </w:t>
    </w:r>
  </w:p>
  <w:p w:rsidR="00D0482B" w:rsidRPr="00014059" w:rsidRDefault="00D0482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0482B" w:rsidRPr="00014059" w:rsidRDefault="00D0482B" w:rsidP="00447B61">
    <w:pPr>
      <w:tabs>
        <w:tab w:val="center" w:pos="4419"/>
        <w:tab w:val="right" w:pos="8838"/>
      </w:tabs>
      <w:adjustRightInd w:val="0"/>
      <w:ind w:left="709"/>
      <w:jc w:val="center"/>
      <w:rPr>
        <w:rFonts w:ascii="Arial" w:hAnsi="Arial" w:cs="Arial"/>
        <w:iCs/>
        <w:sz w:val="16"/>
        <w:szCs w:val="16"/>
      </w:rPr>
    </w:pPr>
  </w:p>
  <w:p w:rsidR="00D0482B" w:rsidRPr="00014059" w:rsidRDefault="00D0482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0482B" w:rsidRPr="00014059" w:rsidRDefault="00D0482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F98" w:rsidRDefault="00846F98" w:rsidP="0044036E">
      <w:r>
        <w:separator/>
      </w:r>
    </w:p>
  </w:footnote>
  <w:footnote w:type="continuationSeparator" w:id="0">
    <w:p w:rsidR="00846F98" w:rsidRDefault="00846F98"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Default="00D0482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0482B" w:rsidRPr="00E42895" w:rsidTr="00FA0C3F">
      <w:trPr>
        <w:trHeight w:val="237"/>
        <w:jc w:val="center"/>
      </w:trPr>
      <w:tc>
        <w:tcPr>
          <w:tcW w:w="1002" w:type="dxa"/>
          <w:vMerge w:val="restart"/>
          <w:vAlign w:val="center"/>
        </w:tcPr>
        <w:p w:rsidR="00D0482B" w:rsidRPr="00E42895" w:rsidRDefault="00D0482B"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12" name="Imagen 12"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D0482B" w:rsidRPr="00EB3B8E" w:rsidRDefault="00D0482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0482B" w:rsidRPr="00E42895" w:rsidTr="00FA0C3F">
      <w:trPr>
        <w:trHeight w:val="235"/>
        <w:jc w:val="center"/>
      </w:trPr>
      <w:tc>
        <w:tcPr>
          <w:tcW w:w="1002" w:type="dxa"/>
          <w:vMerge/>
        </w:tcPr>
        <w:p w:rsidR="00D0482B" w:rsidRPr="00E42895" w:rsidRDefault="00D0482B" w:rsidP="00FA0C3F">
          <w:pPr>
            <w:rPr>
              <w:rFonts w:ascii="Arial" w:hAnsi="Arial" w:cs="Arial"/>
              <w:color w:val="000000"/>
              <w:szCs w:val="16"/>
            </w:rPr>
          </w:pP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0482B" w:rsidRPr="00E42895" w:rsidTr="00FA0C3F">
      <w:trPr>
        <w:trHeight w:val="215"/>
        <w:jc w:val="center"/>
      </w:trPr>
      <w:tc>
        <w:tcPr>
          <w:tcW w:w="1002" w:type="dxa"/>
          <w:vMerge/>
        </w:tcPr>
        <w:p w:rsidR="00D0482B" w:rsidRPr="00E42895" w:rsidRDefault="00D0482B" w:rsidP="00FA0C3F">
          <w:pPr>
            <w:rPr>
              <w:rFonts w:ascii="Arial" w:hAnsi="Arial" w:cs="Arial"/>
              <w:color w:val="000000"/>
              <w:szCs w:val="16"/>
            </w:rPr>
          </w:pPr>
        </w:p>
      </w:tc>
      <w:tc>
        <w:tcPr>
          <w:tcW w:w="4937" w:type="dxa"/>
          <w:vMerge w:val="restart"/>
          <w:shd w:val="clear" w:color="auto" w:fill="auto"/>
          <w:vAlign w:val="center"/>
        </w:tcPr>
        <w:p w:rsidR="00D0482B" w:rsidRPr="00EB3B8E" w:rsidRDefault="00D0482B"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0482B" w:rsidRPr="00E42895" w:rsidTr="00FA0C3F">
      <w:trPr>
        <w:trHeight w:val="245"/>
        <w:jc w:val="center"/>
      </w:trPr>
      <w:tc>
        <w:tcPr>
          <w:tcW w:w="1002" w:type="dxa"/>
          <w:vMerge/>
        </w:tcPr>
        <w:p w:rsidR="00D0482B" w:rsidRPr="00E42895" w:rsidRDefault="00D0482B" w:rsidP="00FA0C3F">
          <w:pPr>
            <w:rPr>
              <w:rFonts w:ascii="Arial" w:hAnsi="Arial" w:cs="Arial"/>
              <w:color w:val="000000"/>
              <w:szCs w:val="16"/>
            </w:rPr>
          </w:pPr>
        </w:p>
      </w:tc>
      <w:tc>
        <w:tcPr>
          <w:tcW w:w="4937" w:type="dxa"/>
          <w:vMerge/>
          <w:shd w:val="clear" w:color="auto" w:fill="auto"/>
          <w:vAlign w:val="center"/>
        </w:tcPr>
        <w:p w:rsidR="00D0482B" w:rsidRPr="00EB3B8E" w:rsidRDefault="00D0482B" w:rsidP="00FA0C3F">
          <w:pPr>
            <w:jc w:val="center"/>
            <w:rPr>
              <w:rFonts w:ascii="Arial" w:hAnsi="Arial" w:cs="Arial"/>
              <w:b/>
            </w:rPr>
          </w:pP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35614">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035614">
            <w:rPr>
              <w:rStyle w:val="Nmerodepgina"/>
              <w:rFonts w:ascii="Arial" w:hAnsi="Arial" w:cs="Arial"/>
              <w:b/>
              <w:noProof/>
            </w:rPr>
            <w:t>5</w:t>
          </w:r>
          <w:r>
            <w:rPr>
              <w:rStyle w:val="Nmerodepgina"/>
              <w:rFonts w:ascii="Arial" w:hAnsi="Arial" w:cs="Arial"/>
              <w:b/>
              <w:noProof/>
            </w:rPr>
            <w:fldChar w:fldCharType="end"/>
          </w:r>
        </w:p>
      </w:tc>
    </w:tr>
  </w:tbl>
  <w:p w:rsidR="00D0482B" w:rsidRPr="00B40BF9" w:rsidRDefault="00D0482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6"/>
  </w:num>
  <w:num w:numId="8">
    <w:abstractNumId w:val="8"/>
  </w:num>
  <w:num w:numId="9">
    <w:abstractNumId w:val="7"/>
  </w:num>
  <w:num w:numId="10">
    <w:abstractNumId w:val="0"/>
  </w:num>
  <w:num w:numId="11">
    <w:abstractNumId w:val="11"/>
  </w:num>
  <w:num w:numId="12">
    <w:abstractNumId w:val="4"/>
  </w:num>
  <w:num w:numId="13">
    <w:abstractNumId w:val="13"/>
  </w:num>
  <w:num w:numId="14">
    <w:abstractNumId w:val="15"/>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5581"/>
    <w:rsid w:val="00035614"/>
    <w:rsid w:val="000969EB"/>
    <w:rsid w:val="000A2328"/>
    <w:rsid w:val="000B622F"/>
    <w:rsid w:val="000D5C54"/>
    <w:rsid w:val="000E6142"/>
    <w:rsid w:val="000F4174"/>
    <w:rsid w:val="000F4315"/>
    <w:rsid w:val="00116C11"/>
    <w:rsid w:val="0015049B"/>
    <w:rsid w:val="00152E87"/>
    <w:rsid w:val="00166AFA"/>
    <w:rsid w:val="001932E4"/>
    <w:rsid w:val="001C0AC1"/>
    <w:rsid w:val="001C20B7"/>
    <w:rsid w:val="001C711D"/>
    <w:rsid w:val="001D19E1"/>
    <w:rsid w:val="00204554"/>
    <w:rsid w:val="00205309"/>
    <w:rsid w:val="0021626A"/>
    <w:rsid w:val="0021637E"/>
    <w:rsid w:val="00221300"/>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400054"/>
    <w:rsid w:val="0044036E"/>
    <w:rsid w:val="00442F6B"/>
    <w:rsid w:val="00447B61"/>
    <w:rsid w:val="00470C47"/>
    <w:rsid w:val="00477117"/>
    <w:rsid w:val="004A758B"/>
    <w:rsid w:val="004D73AA"/>
    <w:rsid w:val="004F3DFD"/>
    <w:rsid w:val="004F4228"/>
    <w:rsid w:val="00507E82"/>
    <w:rsid w:val="00532A49"/>
    <w:rsid w:val="00566C9B"/>
    <w:rsid w:val="0059706A"/>
    <w:rsid w:val="005A6779"/>
    <w:rsid w:val="005C4A02"/>
    <w:rsid w:val="00610723"/>
    <w:rsid w:val="00614871"/>
    <w:rsid w:val="006232A8"/>
    <w:rsid w:val="0064730D"/>
    <w:rsid w:val="00663020"/>
    <w:rsid w:val="00663084"/>
    <w:rsid w:val="00664485"/>
    <w:rsid w:val="00664608"/>
    <w:rsid w:val="0069115C"/>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46F98"/>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B1266"/>
    <w:rsid w:val="009C56C3"/>
    <w:rsid w:val="009D2447"/>
    <w:rsid w:val="009D2A64"/>
    <w:rsid w:val="009F781D"/>
    <w:rsid w:val="00A11A5F"/>
    <w:rsid w:val="00A23479"/>
    <w:rsid w:val="00A32D88"/>
    <w:rsid w:val="00A638CC"/>
    <w:rsid w:val="00A67113"/>
    <w:rsid w:val="00A9037C"/>
    <w:rsid w:val="00A978E3"/>
    <w:rsid w:val="00AB4466"/>
    <w:rsid w:val="00AB7115"/>
    <w:rsid w:val="00AC2A81"/>
    <w:rsid w:val="00AD7E67"/>
    <w:rsid w:val="00B03AD8"/>
    <w:rsid w:val="00B0506D"/>
    <w:rsid w:val="00B40BF9"/>
    <w:rsid w:val="00B41C88"/>
    <w:rsid w:val="00B5349E"/>
    <w:rsid w:val="00B81C47"/>
    <w:rsid w:val="00B91DD5"/>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0482B"/>
    <w:rsid w:val="00D31D3D"/>
    <w:rsid w:val="00D51C02"/>
    <w:rsid w:val="00D57751"/>
    <w:rsid w:val="00D741F8"/>
    <w:rsid w:val="00D77A82"/>
    <w:rsid w:val="00D943A3"/>
    <w:rsid w:val="00D9563C"/>
    <w:rsid w:val="00DA26D1"/>
    <w:rsid w:val="00DA6258"/>
    <w:rsid w:val="00DB5770"/>
    <w:rsid w:val="00DB5BD5"/>
    <w:rsid w:val="00DB6920"/>
    <w:rsid w:val="00DD2E5F"/>
    <w:rsid w:val="00DE00CB"/>
    <w:rsid w:val="00DE377C"/>
    <w:rsid w:val="00DF57AF"/>
    <w:rsid w:val="00E06BF9"/>
    <w:rsid w:val="00E12BA1"/>
    <w:rsid w:val="00E153CF"/>
    <w:rsid w:val="00E22FC5"/>
    <w:rsid w:val="00E253BB"/>
    <w:rsid w:val="00E31CFD"/>
    <w:rsid w:val="00E373C7"/>
    <w:rsid w:val="00E4226B"/>
    <w:rsid w:val="00E42895"/>
    <w:rsid w:val="00E54660"/>
    <w:rsid w:val="00E55AE8"/>
    <w:rsid w:val="00E642E2"/>
    <w:rsid w:val="00E64A0B"/>
    <w:rsid w:val="00E6531E"/>
    <w:rsid w:val="00EA3DCA"/>
    <w:rsid w:val="00EB3B8E"/>
    <w:rsid w:val="00EB60A5"/>
    <w:rsid w:val="00F11DBC"/>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9AF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83400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12207390">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175.11.2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5AC3A-DFE2-4DEB-8F81-4D775055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1508</Words>
  <Characters>8299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4</cp:revision>
  <cp:lastPrinted>2019-03-07T19:18:00Z</cp:lastPrinted>
  <dcterms:created xsi:type="dcterms:W3CDTF">2019-07-15T21:49:00Z</dcterms:created>
  <dcterms:modified xsi:type="dcterms:W3CDTF">2019-07-15T22:09:00Z</dcterms:modified>
</cp:coreProperties>
</file>