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2019-03-21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22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AC2A81">
              <w:rPr>
                <w:rFonts w:ascii="Arial" w:hAnsi="Arial" w:cs="Arial"/>
                <w:b/>
                <w:sz w:val="22"/>
                <w:szCs w:val="22"/>
                <w:lang w:val="es-CO"/>
              </w:rPr>
              <w:t xml:space="preserve"> 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E06BF9" w:rsidP="00E06BF9">
            <w:pPr>
              <w:tabs>
                <w:tab w:val="left" w:pos="5640"/>
              </w:tabs>
              <w:jc w:val="both"/>
              <w:rPr>
                <w:rFonts w:ascii="Arial" w:hAnsi="Arial" w:cs="Arial"/>
                <w:sz w:val="22"/>
                <w:szCs w:val="22"/>
                <w:lang w:val="es-CO"/>
              </w:rPr>
            </w:pPr>
            <w:r w:rsidRPr="00AC2A81">
              <w:rPr>
                <w:rFonts w:ascii="Arial" w:hAnsi="Arial" w:cs="Arial"/>
                <w:sz w:val="22"/>
                <w:szCs w:val="22"/>
                <w:lang w:val="es-CO"/>
              </w:rPr>
              <w:t>ADQUISICIÓN DE BIENES NECESARIOS PARA REALIZAR LA CAMPAÑA DE CONDICIONES NECESARIAS PARA GARANTIZAR EL DESARROLLO DEL PROCESO DE AUTOEVALUACIÓN EN SUS CORRESPONDIENTES FASES.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C2A81" w:rsidP="004A758B">
            <w:pPr>
              <w:pStyle w:val="Prrafodelista"/>
              <w:ind w:left="0"/>
              <w:jc w:val="both"/>
              <w:rPr>
                <w:rFonts w:ascii="Arial" w:hAnsi="Arial" w:cs="Arial"/>
                <w:sz w:val="22"/>
                <w:szCs w:val="22"/>
                <w:lang w:val="es-CO"/>
              </w:rPr>
            </w:pPr>
            <w:r w:rsidRPr="00AC2A81">
              <w:rPr>
                <w:rFonts w:ascii="Arial" w:hAnsi="Arial" w:cs="Arial"/>
                <w:sz w:val="22"/>
                <w:szCs w:val="22"/>
                <w:lang w:val="es-CO"/>
              </w:rPr>
              <w:t>DIECINUEVE MILLONES SEISCIENTOS CINCUENTA Y DOS MIL PESOS</w:t>
            </w:r>
            <w:r>
              <w:rPr>
                <w:rFonts w:ascii="Arial" w:hAnsi="Arial" w:cs="Arial"/>
                <w:sz w:val="22"/>
                <w:szCs w:val="22"/>
                <w:lang w:val="es-CO"/>
              </w:rPr>
              <w:t xml:space="preserve"> ($19.652.000)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992"/>
        <w:gridCol w:w="284"/>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320C2A">
            <w:pPr>
              <w:jc w:val="center"/>
              <w:rPr>
                <w:rFonts w:ascii="Arial" w:hAnsi="Arial" w:cs="Arial"/>
                <w:color w:val="FFFFFF"/>
                <w:sz w:val="22"/>
                <w:szCs w:val="22"/>
                <w:lang w:val="es-CO" w:eastAsia="es-CO"/>
              </w:rPr>
            </w:pPr>
          </w:p>
        </w:tc>
        <w:tc>
          <w:tcPr>
            <w:tcW w:w="1276" w:type="dxa"/>
            <w:gridSpan w:val="2"/>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AC2A81" w:rsidRPr="00884732" w:rsidTr="002955C5">
        <w:trPr>
          <w:trHeight w:val="347"/>
          <w:jc w:val="center"/>
        </w:trPr>
        <w:tc>
          <w:tcPr>
            <w:tcW w:w="568" w:type="dxa"/>
            <w:shd w:val="clear" w:color="auto" w:fill="auto"/>
            <w:noWrap/>
            <w:vAlign w:val="center"/>
            <w:hideMark/>
          </w:tcPr>
          <w:p w:rsidR="00AC2A81" w:rsidRPr="00884732" w:rsidRDefault="00AC2A81" w:rsidP="00320C2A">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C2A81" w:rsidRDefault="00AC2A81" w:rsidP="00320C2A">
            <w:pPr>
              <w:rPr>
                <w:rFonts w:ascii="Arial" w:hAnsi="Arial" w:cs="Arial"/>
                <w:color w:val="000000"/>
                <w:sz w:val="22"/>
                <w:szCs w:val="22"/>
                <w:lang w:val="es-CO" w:eastAsia="es-CO"/>
              </w:rPr>
            </w:pPr>
            <w:r>
              <w:rPr>
                <w:rFonts w:ascii="Arial" w:hAnsi="Arial" w:cs="Arial"/>
                <w:color w:val="000000"/>
                <w:sz w:val="22"/>
                <w:szCs w:val="22"/>
              </w:rPr>
              <w:t>Carpeta tamaño oficio con bolsillo plastificada mate y brillo uv. Los artes serán dotados por la Dirección de Autoevaluación y Acreditación.</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500</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hideMark/>
          </w:tcPr>
          <w:p w:rsidR="00AC2A81" w:rsidRPr="00884732" w:rsidRDefault="00AC2A81" w:rsidP="00320C2A">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AC2A81" w:rsidRPr="00884732" w:rsidRDefault="00AC2A81" w:rsidP="00320C2A">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AC2A81" w:rsidRPr="00884732" w:rsidRDefault="00AC2A81" w:rsidP="00320C2A">
            <w:pPr>
              <w:jc w:val="center"/>
              <w:rPr>
                <w:rFonts w:ascii="Arial" w:hAnsi="Arial" w:cs="Arial"/>
                <w:color w:val="000000"/>
                <w:sz w:val="22"/>
                <w:szCs w:val="22"/>
                <w:lang w:eastAsia="es-CO"/>
              </w:rPr>
            </w:pPr>
          </w:p>
        </w:tc>
        <w:tc>
          <w:tcPr>
            <w:tcW w:w="1276" w:type="dxa"/>
            <w:gridSpan w:val="2"/>
          </w:tcPr>
          <w:p w:rsidR="00AC2A81" w:rsidRPr="00884732" w:rsidRDefault="00AC2A81" w:rsidP="00320C2A">
            <w:pPr>
              <w:jc w:val="center"/>
              <w:rPr>
                <w:rFonts w:ascii="Arial" w:hAnsi="Arial" w:cs="Arial"/>
                <w:color w:val="000000"/>
                <w:sz w:val="22"/>
                <w:szCs w:val="22"/>
                <w:lang w:eastAsia="es-CO"/>
              </w:rPr>
            </w:pPr>
          </w:p>
        </w:tc>
        <w:tc>
          <w:tcPr>
            <w:tcW w:w="1276" w:type="dxa"/>
          </w:tcPr>
          <w:p w:rsidR="00AC2A81" w:rsidRPr="00884732" w:rsidRDefault="00AC2A81" w:rsidP="00320C2A">
            <w:pPr>
              <w:jc w:val="center"/>
              <w:rPr>
                <w:rFonts w:ascii="Arial" w:hAnsi="Arial" w:cs="Arial"/>
                <w:color w:val="000000"/>
                <w:sz w:val="22"/>
                <w:szCs w:val="22"/>
                <w:lang w:eastAsia="es-CO"/>
              </w:rPr>
            </w:pPr>
          </w:p>
        </w:tc>
      </w:tr>
      <w:tr w:rsidR="00AC2A81" w:rsidRPr="00884732" w:rsidTr="002955C5">
        <w:trPr>
          <w:trHeight w:val="347"/>
          <w:jc w:val="center"/>
        </w:trPr>
        <w:tc>
          <w:tcPr>
            <w:tcW w:w="568" w:type="dxa"/>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AC2A81" w:rsidRDefault="00AC2A81" w:rsidP="00320C2A">
            <w:pPr>
              <w:rPr>
                <w:rFonts w:ascii="Arial" w:hAnsi="Arial" w:cs="Arial"/>
                <w:color w:val="000000"/>
                <w:sz w:val="22"/>
                <w:szCs w:val="22"/>
              </w:rPr>
            </w:pPr>
            <w:r>
              <w:rPr>
                <w:rFonts w:ascii="Arial" w:hAnsi="Arial" w:cs="Arial"/>
                <w:color w:val="000000"/>
                <w:sz w:val="22"/>
                <w:szCs w:val="22"/>
              </w:rPr>
              <w:t>Pendones 200 cm x 100 cm con impresión digital en alta, base en aluminio roll up. Los artes serán dotados por la Dirección de Autoevaluación y Acreditación.</w:t>
            </w:r>
          </w:p>
        </w:tc>
        <w:tc>
          <w:tcPr>
            <w:tcW w:w="737" w:type="dxa"/>
            <w:tcBorders>
              <w:top w:val="nil"/>
              <w:left w:val="nil"/>
              <w:bottom w:val="single" w:sz="4" w:space="0" w:color="000000"/>
              <w:right w:val="single" w:sz="4" w:space="0" w:color="000000"/>
            </w:tcBorders>
            <w:shd w:val="clear" w:color="auto" w:fill="auto"/>
            <w:noWrap/>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14</w:t>
            </w:r>
          </w:p>
        </w:tc>
        <w:tc>
          <w:tcPr>
            <w:tcW w:w="1105" w:type="dxa"/>
            <w:tcBorders>
              <w:top w:val="nil"/>
              <w:left w:val="nil"/>
              <w:bottom w:val="single" w:sz="4" w:space="0" w:color="000000"/>
              <w:right w:val="single" w:sz="4" w:space="0" w:color="000000"/>
            </w:tcBorders>
            <w:shd w:val="clear" w:color="auto" w:fill="auto"/>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p>
        </w:tc>
        <w:tc>
          <w:tcPr>
            <w:tcW w:w="992" w:type="dxa"/>
          </w:tcPr>
          <w:p w:rsidR="00AC2A81" w:rsidRPr="00884732" w:rsidRDefault="00AC2A81" w:rsidP="00320C2A">
            <w:pPr>
              <w:jc w:val="center"/>
              <w:rPr>
                <w:rFonts w:ascii="Arial" w:hAnsi="Arial" w:cs="Arial"/>
                <w:color w:val="000000"/>
                <w:sz w:val="22"/>
                <w:szCs w:val="22"/>
                <w:lang w:eastAsia="es-CO"/>
              </w:rPr>
            </w:pPr>
          </w:p>
        </w:tc>
        <w:tc>
          <w:tcPr>
            <w:tcW w:w="1276" w:type="dxa"/>
            <w:gridSpan w:val="2"/>
          </w:tcPr>
          <w:p w:rsidR="00AC2A81" w:rsidRPr="00884732" w:rsidRDefault="00AC2A81" w:rsidP="00320C2A">
            <w:pPr>
              <w:jc w:val="center"/>
              <w:rPr>
                <w:rFonts w:ascii="Arial" w:hAnsi="Arial" w:cs="Arial"/>
                <w:color w:val="000000"/>
                <w:sz w:val="22"/>
                <w:szCs w:val="22"/>
                <w:lang w:eastAsia="es-CO"/>
              </w:rPr>
            </w:pPr>
          </w:p>
        </w:tc>
        <w:tc>
          <w:tcPr>
            <w:tcW w:w="1276" w:type="dxa"/>
          </w:tcPr>
          <w:p w:rsidR="00AC2A81" w:rsidRPr="00884732" w:rsidRDefault="00AC2A81" w:rsidP="00320C2A">
            <w:pPr>
              <w:jc w:val="center"/>
              <w:rPr>
                <w:rFonts w:ascii="Arial" w:hAnsi="Arial" w:cs="Arial"/>
                <w:color w:val="000000"/>
                <w:sz w:val="22"/>
                <w:szCs w:val="22"/>
                <w:lang w:eastAsia="es-CO"/>
              </w:rPr>
            </w:pPr>
          </w:p>
        </w:tc>
      </w:tr>
      <w:tr w:rsidR="00AC2A81" w:rsidRPr="00884732" w:rsidTr="002955C5">
        <w:trPr>
          <w:trHeight w:val="347"/>
          <w:jc w:val="center"/>
        </w:trPr>
        <w:tc>
          <w:tcPr>
            <w:tcW w:w="568" w:type="dxa"/>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AC2A81" w:rsidRDefault="00AC2A81" w:rsidP="00320C2A">
            <w:pPr>
              <w:rPr>
                <w:rFonts w:ascii="Arial" w:hAnsi="Arial" w:cs="Arial"/>
                <w:color w:val="000000"/>
                <w:sz w:val="22"/>
                <w:szCs w:val="22"/>
              </w:rPr>
            </w:pPr>
            <w:r>
              <w:rPr>
                <w:rFonts w:ascii="Arial" w:hAnsi="Arial" w:cs="Arial"/>
                <w:color w:val="000000"/>
                <w:sz w:val="22"/>
                <w:szCs w:val="22"/>
              </w:rPr>
              <w:t>Esfero cuerpo metálico escritura tinta negra, marcado con logo. Los artes serán dotados por la Dirección de Autoevaluación y Acreditación.</w:t>
            </w:r>
          </w:p>
        </w:tc>
        <w:tc>
          <w:tcPr>
            <w:tcW w:w="737" w:type="dxa"/>
            <w:tcBorders>
              <w:top w:val="nil"/>
              <w:left w:val="nil"/>
              <w:bottom w:val="single" w:sz="4" w:space="0" w:color="000000"/>
              <w:right w:val="single" w:sz="4" w:space="0" w:color="000000"/>
            </w:tcBorders>
            <w:shd w:val="clear" w:color="auto" w:fill="auto"/>
            <w:noWrap/>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150</w:t>
            </w:r>
          </w:p>
        </w:tc>
        <w:tc>
          <w:tcPr>
            <w:tcW w:w="1105" w:type="dxa"/>
            <w:tcBorders>
              <w:top w:val="nil"/>
              <w:left w:val="nil"/>
              <w:bottom w:val="single" w:sz="4" w:space="0" w:color="000000"/>
              <w:right w:val="single" w:sz="4" w:space="0" w:color="000000"/>
            </w:tcBorders>
            <w:shd w:val="clear" w:color="auto" w:fill="auto"/>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p>
        </w:tc>
        <w:tc>
          <w:tcPr>
            <w:tcW w:w="992" w:type="dxa"/>
          </w:tcPr>
          <w:p w:rsidR="00AC2A81" w:rsidRPr="00884732" w:rsidRDefault="00AC2A81" w:rsidP="00320C2A">
            <w:pPr>
              <w:jc w:val="center"/>
              <w:rPr>
                <w:rFonts w:ascii="Arial" w:hAnsi="Arial" w:cs="Arial"/>
                <w:color w:val="000000"/>
                <w:sz w:val="22"/>
                <w:szCs w:val="22"/>
                <w:lang w:eastAsia="es-CO"/>
              </w:rPr>
            </w:pPr>
          </w:p>
        </w:tc>
        <w:tc>
          <w:tcPr>
            <w:tcW w:w="1276" w:type="dxa"/>
            <w:gridSpan w:val="2"/>
          </w:tcPr>
          <w:p w:rsidR="00AC2A81" w:rsidRPr="00884732" w:rsidRDefault="00AC2A81" w:rsidP="00320C2A">
            <w:pPr>
              <w:jc w:val="center"/>
              <w:rPr>
                <w:rFonts w:ascii="Arial" w:hAnsi="Arial" w:cs="Arial"/>
                <w:color w:val="000000"/>
                <w:sz w:val="22"/>
                <w:szCs w:val="22"/>
                <w:lang w:eastAsia="es-CO"/>
              </w:rPr>
            </w:pPr>
          </w:p>
        </w:tc>
        <w:tc>
          <w:tcPr>
            <w:tcW w:w="1276" w:type="dxa"/>
          </w:tcPr>
          <w:p w:rsidR="00AC2A81" w:rsidRPr="00884732" w:rsidRDefault="00AC2A81" w:rsidP="00320C2A">
            <w:pPr>
              <w:jc w:val="center"/>
              <w:rPr>
                <w:rFonts w:ascii="Arial" w:hAnsi="Arial" w:cs="Arial"/>
                <w:color w:val="000000"/>
                <w:sz w:val="22"/>
                <w:szCs w:val="22"/>
                <w:lang w:eastAsia="es-CO"/>
              </w:rPr>
            </w:pPr>
          </w:p>
        </w:tc>
      </w:tr>
      <w:tr w:rsidR="00AC2A81" w:rsidRPr="00884732" w:rsidTr="002955C5">
        <w:trPr>
          <w:trHeight w:val="347"/>
          <w:jc w:val="center"/>
        </w:trPr>
        <w:tc>
          <w:tcPr>
            <w:tcW w:w="568" w:type="dxa"/>
            <w:tcBorders>
              <w:bottom w:val="single" w:sz="4" w:space="0" w:color="auto"/>
            </w:tcBorders>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r>
              <w:rPr>
                <w:rFonts w:ascii="Arial" w:hAnsi="Arial" w:cs="Arial"/>
                <w:color w:val="000000"/>
                <w:sz w:val="22"/>
                <w:szCs w:val="22"/>
                <w:lang w:eastAsia="es-CO"/>
              </w:rPr>
              <w:t>4</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AC2A81" w:rsidRDefault="00AC2A81" w:rsidP="00320C2A">
            <w:pPr>
              <w:rPr>
                <w:rFonts w:ascii="Arial" w:hAnsi="Arial" w:cs="Arial"/>
                <w:color w:val="000000"/>
                <w:sz w:val="22"/>
                <w:szCs w:val="22"/>
              </w:rPr>
            </w:pPr>
            <w:r>
              <w:rPr>
                <w:rFonts w:ascii="Arial" w:hAnsi="Arial" w:cs="Arial"/>
                <w:color w:val="000000"/>
                <w:sz w:val="22"/>
                <w:szCs w:val="22"/>
              </w:rPr>
              <w:t xml:space="preserve">Botella en aluminio con </w:t>
            </w:r>
            <w:r w:rsidR="002955C5">
              <w:rPr>
                <w:rFonts w:ascii="Arial" w:hAnsi="Arial" w:cs="Arial"/>
                <w:color w:val="000000"/>
                <w:sz w:val="22"/>
                <w:szCs w:val="22"/>
              </w:rPr>
              <w:t>arnés</w:t>
            </w:r>
            <w:r>
              <w:rPr>
                <w:rFonts w:ascii="Arial" w:hAnsi="Arial" w:cs="Arial"/>
                <w:color w:val="000000"/>
                <w:sz w:val="22"/>
                <w:szCs w:val="22"/>
              </w:rPr>
              <w:t>, capacidad de 500 ml personalizada con logo institucional a 1 tinta. Los artes seran dotados por la Direccion de Autoevaluación y Acreditación.</w:t>
            </w:r>
          </w:p>
        </w:tc>
        <w:tc>
          <w:tcPr>
            <w:tcW w:w="737" w:type="dxa"/>
            <w:tcBorders>
              <w:top w:val="nil"/>
              <w:left w:val="nil"/>
              <w:bottom w:val="single" w:sz="4" w:space="0" w:color="auto"/>
              <w:right w:val="single" w:sz="4" w:space="0" w:color="000000"/>
            </w:tcBorders>
            <w:shd w:val="clear" w:color="auto" w:fill="auto"/>
            <w:noWrap/>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1000</w:t>
            </w:r>
          </w:p>
        </w:tc>
        <w:tc>
          <w:tcPr>
            <w:tcW w:w="1105" w:type="dxa"/>
            <w:tcBorders>
              <w:top w:val="nil"/>
              <w:left w:val="nil"/>
              <w:bottom w:val="single" w:sz="4" w:space="0" w:color="auto"/>
              <w:right w:val="single" w:sz="4" w:space="0" w:color="000000"/>
            </w:tcBorders>
            <w:shd w:val="clear" w:color="auto" w:fill="auto"/>
            <w:vAlign w:val="center"/>
          </w:tcPr>
          <w:p w:rsidR="00AC2A81" w:rsidRDefault="00AC2A81" w:rsidP="00320C2A">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AC2A81" w:rsidRPr="00884732" w:rsidRDefault="00AC2A81" w:rsidP="00320C2A">
            <w:pPr>
              <w:jc w:val="center"/>
              <w:rPr>
                <w:rFonts w:ascii="Arial" w:hAnsi="Arial" w:cs="Arial"/>
                <w:color w:val="000000"/>
                <w:sz w:val="22"/>
                <w:szCs w:val="22"/>
                <w:lang w:eastAsia="es-CO"/>
              </w:rPr>
            </w:pPr>
          </w:p>
        </w:tc>
        <w:tc>
          <w:tcPr>
            <w:tcW w:w="992" w:type="dxa"/>
            <w:tcBorders>
              <w:bottom w:val="single" w:sz="4" w:space="0" w:color="auto"/>
            </w:tcBorders>
          </w:tcPr>
          <w:p w:rsidR="00AC2A81" w:rsidRPr="00884732" w:rsidRDefault="00AC2A81" w:rsidP="00320C2A">
            <w:pPr>
              <w:jc w:val="center"/>
              <w:rPr>
                <w:rFonts w:ascii="Arial" w:hAnsi="Arial" w:cs="Arial"/>
                <w:color w:val="000000"/>
                <w:sz w:val="22"/>
                <w:szCs w:val="22"/>
                <w:lang w:eastAsia="es-CO"/>
              </w:rPr>
            </w:pPr>
          </w:p>
        </w:tc>
        <w:tc>
          <w:tcPr>
            <w:tcW w:w="1276" w:type="dxa"/>
            <w:gridSpan w:val="2"/>
            <w:tcBorders>
              <w:bottom w:val="single" w:sz="4" w:space="0" w:color="auto"/>
            </w:tcBorders>
          </w:tcPr>
          <w:p w:rsidR="00AC2A81" w:rsidRPr="00884732" w:rsidRDefault="00AC2A81" w:rsidP="00320C2A">
            <w:pPr>
              <w:jc w:val="center"/>
              <w:rPr>
                <w:rFonts w:ascii="Arial" w:hAnsi="Arial" w:cs="Arial"/>
                <w:color w:val="000000"/>
                <w:sz w:val="22"/>
                <w:szCs w:val="22"/>
                <w:lang w:eastAsia="es-CO"/>
              </w:rPr>
            </w:pPr>
          </w:p>
        </w:tc>
        <w:tc>
          <w:tcPr>
            <w:tcW w:w="1276" w:type="dxa"/>
            <w:tcBorders>
              <w:bottom w:val="single" w:sz="4" w:space="0" w:color="auto"/>
            </w:tcBorders>
          </w:tcPr>
          <w:p w:rsidR="00AC2A81" w:rsidRPr="00884732" w:rsidRDefault="00AC2A81"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bottom w:val="single" w:sz="4" w:space="0" w:color="auto"/>
              <w:right w:val="single" w:sz="4" w:space="0" w:color="auto"/>
            </w:tcBorders>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lastRenderedPageBreak/>
              <w:t>SUBTOTAL</w:t>
            </w:r>
          </w:p>
        </w:tc>
        <w:tc>
          <w:tcPr>
            <w:tcW w:w="1560" w:type="dxa"/>
            <w:gridSpan w:val="2"/>
            <w:tcBorders>
              <w:top w:val="single" w:sz="4" w:space="0" w:color="auto"/>
              <w:left w:val="single" w:sz="4" w:space="0" w:color="auto"/>
              <w:bottom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tcBorders>
            <w:shd w:val="clear" w:color="auto" w:fill="auto"/>
            <w:noWrap/>
            <w:vAlign w:val="center"/>
          </w:tcPr>
          <w:p w:rsidR="002955C5" w:rsidRPr="002955C5" w:rsidRDefault="00CD60C0"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002955C5" w:rsidRPr="002955C5">
              <w:rPr>
                <w:rFonts w:ascii="Arial" w:hAnsi="Arial" w:cs="Arial"/>
                <w:b/>
                <w:color w:val="000000"/>
                <w:sz w:val="22"/>
                <w:szCs w:val="22"/>
                <w:lang w:eastAsia="es-CO"/>
              </w:rPr>
              <w:t>:__ (%)</w:t>
            </w:r>
          </w:p>
        </w:tc>
        <w:tc>
          <w:tcPr>
            <w:tcW w:w="1560" w:type="dxa"/>
            <w:gridSpan w:val="2"/>
            <w:tcBorders>
              <w:top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560" w:type="dxa"/>
            <w:gridSpan w:val="2"/>
          </w:tcPr>
          <w:p w:rsidR="002955C5" w:rsidRPr="00884732" w:rsidRDefault="002955C5"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955C5" w:rsidP="00CD60C0">
            <w:pPr>
              <w:jc w:val="center"/>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06BF9" w:rsidP="004A758B">
            <w:pPr>
              <w:rPr>
                <w:rFonts w:ascii="Arial" w:hAnsi="Arial" w:cs="Arial"/>
                <w:sz w:val="22"/>
                <w:szCs w:val="22"/>
                <w:lang w:val="es-CO"/>
              </w:rPr>
            </w:pPr>
            <w:r w:rsidRPr="002955C5">
              <w:rPr>
                <w:rFonts w:ascii="Arial" w:hAnsi="Arial" w:cs="Arial"/>
                <w:sz w:val="22"/>
                <w:szCs w:val="22"/>
                <w:lang w:val="es-CO"/>
              </w:rPr>
              <w:t>UNIVERSIDAD DE CUNDINAMARCA,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2955C5" w:rsidP="004A758B">
            <w:pPr>
              <w:jc w:val="both"/>
              <w:rPr>
                <w:rFonts w:ascii="Arial" w:hAnsi="Arial" w:cs="Arial"/>
                <w:sz w:val="22"/>
                <w:szCs w:val="22"/>
                <w:lang w:val="es-CO"/>
              </w:rPr>
            </w:pPr>
            <w:r>
              <w:rPr>
                <w:rFonts w:ascii="Arial" w:hAnsi="Arial" w:cs="Arial"/>
                <w:sz w:val="22"/>
                <w:szCs w:val="22"/>
                <w:lang w:val="es-CO"/>
              </w:rPr>
              <w:t xml:space="preserve">UN (1) MES. </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Pr>
                <w:rFonts w:ascii="Arial" w:hAnsi="Arial" w:cs="Arial"/>
                <w:sz w:val="22"/>
                <w:szCs w:val="22"/>
                <w:lang w:val="es-CO"/>
              </w:rPr>
              <w:t xml:space="preserve">tual o contrato,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6. </w:t>
            </w:r>
            <w:r w:rsidRPr="002955C5">
              <w:rPr>
                <w:rFonts w:ascii="Arial" w:hAnsi="Arial" w:cs="Arial"/>
                <w:sz w:val="22"/>
                <w:szCs w:val="22"/>
                <w:lang w:val="es-CO"/>
              </w:rPr>
              <w:t>Conocer, entender, comunicar y cumplir lo establecido en la Resolución 000050 de 2018 “Por la cual se establece la P</w:t>
            </w:r>
            <w:r>
              <w:rPr>
                <w:rFonts w:ascii="Arial" w:hAnsi="Arial" w:cs="Arial"/>
                <w:sz w:val="22"/>
                <w:szCs w:val="22"/>
                <w:lang w:val="es-CO"/>
              </w:rPr>
              <w:t xml:space="preserve">olítica de tratamiento de Datos </w:t>
            </w:r>
            <w:r w:rsidRPr="002955C5">
              <w:rPr>
                <w:rFonts w:ascii="Arial" w:hAnsi="Arial" w:cs="Arial"/>
                <w:sz w:val="22"/>
                <w:szCs w:val="22"/>
                <w:lang w:val="es-CO"/>
              </w:rPr>
              <w:t>de los titulares de la Universidad de Cundinamarca”.</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lastRenderedPageBreak/>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1. </w:t>
            </w:r>
            <w:r w:rsidR="002955C5" w:rsidRPr="002955C5">
              <w:rPr>
                <w:rFonts w:ascii="Arial" w:hAnsi="Arial" w:cs="Arial"/>
                <w:sz w:val="22"/>
                <w:szCs w:val="22"/>
                <w:lang w:val="es-CO"/>
              </w:rPr>
              <w:t>El proveedor entregará los bienes cumpliendo con el plazo establecido.</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2. </w:t>
            </w:r>
            <w:r w:rsidR="002955C5" w:rsidRPr="002955C5">
              <w:rPr>
                <w:rFonts w:ascii="Arial" w:hAnsi="Arial" w:cs="Arial"/>
                <w:sz w:val="22"/>
                <w:szCs w:val="22"/>
                <w:lang w:val="es-CO"/>
              </w:rPr>
              <w:t>El contratista entregará los bienes en la Sede Fusagasugá de la Universidad de Cundinamarca</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3. </w:t>
            </w:r>
            <w:r w:rsidR="002955C5" w:rsidRPr="002955C5">
              <w:rPr>
                <w:rFonts w:ascii="Arial" w:hAnsi="Arial" w:cs="Arial"/>
                <w:sz w:val="22"/>
                <w:szCs w:val="22"/>
                <w:lang w:val="es-CO"/>
              </w:rPr>
              <w:t>El proveedor entregará los bienes cumpliendo las características técnicas solicitadas</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4. </w:t>
            </w:r>
            <w:r w:rsidR="002955C5" w:rsidRPr="002955C5">
              <w:rPr>
                <w:rFonts w:ascii="Arial" w:hAnsi="Arial" w:cs="Arial"/>
                <w:sz w:val="22"/>
                <w:szCs w:val="22"/>
                <w:lang w:val="es-CO"/>
              </w:rPr>
              <w:t>El contratista deberá mantener constante comunicación con el supervisor para ajustar artes y/o diseños, así como par</w:t>
            </w:r>
            <w:r>
              <w:rPr>
                <w:rFonts w:ascii="Arial" w:hAnsi="Arial" w:cs="Arial"/>
                <w:sz w:val="22"/>
                <w:szCs w:val="22"/>
                <w:lang w:val="es-CO"/>
              </w:rPr>
              <w:t xml:space="preserve">a ultimar detalles dentro de la </w:t>
            </w:r>
            <w:r w:rsidR="002955C5" w:rsidRPr="002955C5">
              <w:rPr>
                <w:rFonts w:ascii="Arial" w:hAnsi="Arial" w:cs="Arial"/>
                <w:sz w:val="22"/>
                <w:szCs w:val="22"/>
                <w:lang w:val="es-CO"/>
              </w:rPr>
              <w:t>normal ejecución del contrato.</w:t>
            </w:r>
          </w:p>
          <w:p w:rsidR="002955C5" w:rsidRPr="007452FA" w:rsidRDefault="00E06BF9" w:rsidP="002955C5">
            <w:pPr>
              <w:jc w:val="both"/>
              <w:rPr>
                <w:rFonts w:ascii="Arial" w:hAnsi="Arial" w:cs="Arial"/>
                <w:sz w:val="22"/>
                <w:szCs w:val="22"/>
                <w:lang w:val="es-CO"/>
              </w:rPr>
            </w:pPr>
            <w:r>
              <w:rPr>
                <w:rFonts w:ascii="Arial" w:hAnsi="Arial" w:cs="Arial"/>
                <w:sz w:val="22"/>
                <w:szCs w:val="22"/>
                <w:lang w:val="es-CO"/>
              </w:rPr>
              <w:t xml:space="preserve">5. </w:t>
            </w:r>
            <w:r w:rsidR="002955C5" w:rsidRPr="002955C5">
              <w:rPr>
                <w:rFonts w:ascii="Arial" w:hAnsi="Arial" w:cs="Arial"/>
                <w:sz w:val="22"/>
                <w:szCs w:val="22"/>
                <w:lang w:val="es-CO"/>
              </w:rPr>
              <w:t>El Contratista efectuará la reposición de aquellos bienes que presenten fallas en la calidad y/o defectos de fabricación dentro de los parámetros</w:t>
            </w:r>
            <w:r w:rsidR="00CD60C0">
              <w:rPr>
                <w:rFonts w:ascii="Arial" w:hAnsi="Arial" w:cs="Arial"/>
                <w:sz w:val="22"/>
                <w:szCs w:val="22"/>
                <w:lang w:val="es-CO"/>
              </w:rPr>
              <w:t xml:space="preserve"> </w:t>
            </w:r>
            <w:bookmarkStart w:id="0" w:name="_GoBack"/>
            <w:bookmarkEnd w:id="0"/>
            <w:r w:rsidR="002955C5" w:rsidRPr="002955C5">
              <w:rPr>
                <w:rFonts w:ascii="Arial" w:hAnsi="Arial" w:cs="Arial"/>
                <w:sz w:val="22"/>
                <w:szCs w:val="22"/>
                <w:lang w:val="es-CO"/>
              </w:rPr>
              <w:t>normales de uso de los mismos</w:t>
            </w:r>
            <w:r>
              <w:rPr>
                <w:rFonts w:ascii="Arial" w:hAnsi="Arial" w:cs="Arial"/>
                <w:sz w:val="22"/>
                <w:szCs w:val="22"/>
                <w:lang w:val="es-CO"/>
              </w:rPr>
              <w:t>.</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D60C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CD60C0">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CD60C0">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BD5"/>
    <w:rsid w:val="00DB6920"/>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4358-90BE-4A46-AF40-947654E3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2019-03-21T19:04:00Z</dcterms:created>
  <dcterms:modified xsi:type="dcterms:W3CDTF">2019-03-21T19:04:00Z</dcterms:modified>
</cp:coreProperties>
</file>