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E15B7A" w:rsidRPr="00E15B7A">
        <w:rPr>
          <w:rFonts w:ascii="Arial" w:hAnsi="Arial" w:cs="Arial"/>
          <w:b/>
          <w:sz w:val="22"/>
          <w:szCs w:val="22"/>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E15B7A" w:rsidRPr="00E15B7A">
        <w:rPr>
          <w:rFonts w:ascii="Arial" w:hAnsi="Arial" w:cs="Arial"/>
          <w:b/>
          <w:sz w:val="22"/>
          <w:szCs w:val="22"/>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E15B7A" w:rsidRPr="00E15B7A">
        <w:rPr>
          <w:rFonts w:ascii="Arial" w:hAnsi="Arial" w:cs="Arial"/>
          <w:b/>
          <w:sz w:val="22"/>
          <w:szCs w:val="22"/>
          <w:lang w:val="es-CO"/>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E15B7A" w:rsidRPr="00E15B7A">
        <w:rPr>
          <w:rFonts w:ascii="Arial" w:hAnsi="Arial" w:cs="Arial"/>
          <w:b/>
          <w:sz w:val="22"/>
          <w:szCs w:val="22"/>
          <w:lang w:val="es-CO"/>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E15B7A" w:rsidRPr="00E15B7A">
        <w:rPr>
          <w:rFonts w:ascii="Arial" w:hAnsi="Arial" w:cs="Arial"/>
          <w:b/>
          <w:sz w:val="22"/>
          <w:szCs w:val="22"/>
          <w:lang w:val="es-CO"/>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E15B7A">
        <w:rPr>
          <w:rStyle w:val="apple-converted-space"/>
          <w:rFonts w:ascii="Arial" w:eastAsia="Arial" w:hAnsi="Arial" w:cs="Arial"/>
          <w:sz w:val="22"/>
          <w:szCs w:val="22"/>
        </w:rPr>
        <w:lastRenderedPageBreak/>
        <w:t>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hAnsi="Arial" w:cs="Arial"/>
          <w:b/>
          <w:sz w:val="22"/>
          <w:szCs w:val="22"/>
        </w:rPr>
      </w:pPr>
      <w:r w:rsidRPr="00E15B7A">
        <w:rPr>
          <w:rStyle w:val="apple-converted-space"/>
          <w:rFonts w:ascii="Arial" w:hAnsi="Arial" w:cs="Arial"/>
          <w:sz w:val="22"/>
          <w:szCs w:val="22"/>
        </w:rPr>
        <w:t>Firma del representante legal/ persona natural:</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E15B7A">
        <w:rPr>
          <w:rFonts w:ascii="Arial" w:hAnsi="Arial" w:cs="Arial"/>
          <w:b/>
          <w:bCs/>
          <w:sz w:val="22"/>
          <w:szCs w:val="22"/>
        </w:rPr>
        <w:lastRenderedPageBreak/>
        <w:t xml:space="preserve">ANEXO No. </w:t>
      </w:r>
      <w:bookmarkEnd w:id="1"/>
      <w:bookmarkEnd w:id="2"/>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E15B7A" w:rsidRPr="00E15B7A">
        <w:rPr>
          <w:rFonts w:ascii="Arial" w:hAnsi="Arial" w:cs="Arial"/>
          <w:b/>
          <w:sz w:val="22"/>
          <w:szCs w:val="22"/>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8"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Pr="00E15B7A"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E15B7A" w:rsidRPr="00E15B7A">
        <w:rPr>
          <w:rFonts w:ascii="Arial" w:hAnsi="Arial" w:cs="Arial"/>
          <w:b/>
          <w:sz w:val="22"/>
          <w:szCs w:val="22"/>
        </w:rPr>
        <w:t>SERVICIO DE MANTENIMIENTO PREVENTIVO Y/O CORRECTIVO (INSUMOS, REPUESTOS, PIEZAS, ACCESORIOS Y MANO DE OBRA) DE LOS VEHÍCULOS DEL PARQUE AUTOMOTOR Y MAQUINARIA DE PROPIEDAD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center"/>
        <w:rPr>
          <w:rStyle w:val="apple-converted-space"/>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jc w:val="center"/>
        <w:rPr>
          <w:rFonts w:ascii="Arial" w:hAnsi="Arial" w:cs="Arial"/>
          <w:b/>
          <w:sz w:val="22"/>
          <w:szCs w:val="22"/>
        </w:rPr>
      </w:pP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rsidTr="00A17785">
        <w:trPr>
          <w:trHeight w:hRule="exact" w:val="668"/>
        </w:trPr>
        <w:tc>
          <w:tcPr>
            <w:tcW w:w="2122" w:type="dxa"/>
            <w:hideMark/>
          </w:tcPr>
          <w:p w:rsidR="00227F56" w:rsidRPr="00E15B7A" w:rsidRDefault="00227F56" w:rsidP="00A17785">
            <w:pPr>
              <w:pStyle w:val="Sinespaciado"/>
              <w:jc w:val="center"/>
              <w:rPr>
                <w:rFonts w:ascii="Arial" w:hAnsi="Arial" w:cs="Arial"/>
                <w:b/>
                <w:bCs/>
              </w:rPr>
            </w:pPr>
            <w:r w:rsidRPr="00E15B7A">
              <w:rPr>
                <w:rFonts w:ascii="Arial" w:hAnsi="Arial" w:cs="Arial"/>
                <w:b/>
              </w:rPr>
              <w:t>NUMERO DE TRABAJADORES</w:t>
            </w:r>
          </w:p>
        </w:tc>
        <w:tc>
          <w:tcPr>
            <w:tcW w:w="2962" w:type="dxa"/>
            <w:hideMark/>
          </w:tcPr>
          <w:p w:rsidR="00227F56" w:rsidRPr="00E15B7A" w:rsidRDefault="00227F56" w:rsidP="00A17785">
            <w:pPr>
              <w:pStyle w:val="Sinespaciado"/>
              <w:jc w:val="center"/>
              <w:rPr>
                <w:rFonts w:ascii="Arial" w:hAnsi="Arial" w:cs="Arial"/>
                <w:b/>
              </w:rPr>
            </w:pPr>
            <w:r w:rsidRPr="00E15B7A">
              <w:rPr>
                <w:rFonts w:ascii="Arial" w:hAnsi="Arial" w:cs="Arial"/>
                <w:b/>
              </w:rPr>
              <w:t>CONDICIÓN</w:t>
            </w:r>
          </w:p>
        </w:tc>
        <w:tc>
          <w:tcPr>
            <w:tcW w:w="3958" w:type="dxa"/>
            <w:hideMark/>
          </w:tcPr>
          <w:p w:rsidR="00227F56" w:rsidRPr="00E15B7A" w:rsidRDefault="00227F56" w:rsidP="00A17785">
            <w:pPr>
              <w:pStyle w:val="Sinespaciado"/>
              <w:jc w:val="center"/>
              <w:rPr>
                <w:rFonts w:ascii="Arial" w:hAnsi="Arial" w:cs="Arial"/>
                <w:b/>
              </w:rPr>
            </w:pPr>
            <w:r w:rsidRPr="00E15B7A">
              <w:rPr>
                <w:rFonts w:ascii="Arial" w:hAnsi="Arial" w:cs="Arial"/>
                <w:b/>
              </w:rPr>
              <w:t>DOCUMENTO</w:t>
            </w:r>
          </w:p>
        </w:tc>
      </w:tr>
      <w:tr w:rsidR="00227F56" w:rsidRPr="00E15B7A" w:rsidTr="00A17785">
        <w:trPr>
          <w:trHeight w:hRule="exact" w:val="1383"/>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1417"/>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746"/>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b/>
          <w:sz w:val="22"/>
          <w:szCs w:val="22"/>
        </w:rPr>
      </w:pPr>
    </w:p>
    <w:p w:rsidR="00227F56" w:rsidRPr="000F6655" w:rsidRDefault="00227F56" w:rsidP="00227F56">
      <w:pPr>
        <w:pStyle w:val="Cuerpo"/>
      </w:pPr>
    </w:p>
    <w:p w:rsidR="00227F56" w:rsidRDefault="00227F56" w:rsidP="00227F56"/>
    <w:p w:rsidR="00227F56" w:rsidRPr="00A71483" w:rsidRDefault="00227F56" w:rsidP="00227F56">
      <w:pPr>
        <w:rPr>
          <w:rStyle w:val="apple-converted-space"/>
          <w:lang w:val="es-CO"/>
        </w:rPr>
      </w:pPr>
    </w:p>
    <w:p w:rsidR="00227F56" w:rsidRPr="00657939" w:rsidRDefault="00227F56" w:rsidP="00227F56">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Pr="00FA5988" w:rsidRDefault="00FA5988" w:rsidP="00E35C82">
      <w:pPr>
        <w:pStyle w:val="Cuerpo"/>
        <w:rPr>
          <w:rStyle w:val="apple-converted-space"/>
          <w:rFonts w:ascii="Arial" w:hAnsi="Arial" w:cs="Arial"/>
          <w:sz w:val="18"/>
          <w:szCs w:val="22"/>
        </w:rPr>
      </w:pPr>
    </w:p>
    <w:sectPr w:rsidR="00FA5988" w:rsidRPr="00FA5988" w:rsidSect="00D92E6C">
      <w:headerReference w:type="default" r:id="rId9"/>
      <w:footerReference w:type="default" r:id="rId10"/>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6E" w:rsidRDefault="00E0476E" w:rsidP="00D239C7">
      <w:r>
        <w:separator/>
      </w:r>
    </w:p>
  </w:endnote>
  <w:endnote w:type="continuationSeparator" w:id="0">
    <w:p w:rsidR="00E0476E" w:rsidRDefault="00E0476E"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0476E" w:rsidTr="00D239C7">
      <w:trPr>
        <w:trHeight w:val="70"/>
      </w:trPr>
      <w:tc>
        <w:tcPr>
          <w:tcW w:w="4414" w:type="dxa"/>
          <w:vMerge w:val="restart"/>
          <w:vAlign w:val="center"/>
        </w:tcPr>
        <w:p w:rsidR="00E0476E" w:rsidRPr="000A1648" w:rsidRDefault="00E0476E"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E0476E" w:rsidRPr="000A1648" w:rsidRDefault="00E0476E"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0476E" w:rsidTr="00D239C7">
      <w:trPr>
        <w:trHeight w:val="127"/>
      </w:trPr>
      <w:tc>
        <w:tcPr>
          <w:tcW w:w="4414" w:type="dxa"/>
          <w:vMerge/>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0476E"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0476E" w:rsidTr="00D239C7">
      <w:trPr>
        <w:trHeight w:val="107"/>
      </w:trPr>
      <w:tc>
        <w:tcPr>
          <w:tcW w:w="4414"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6E" w:rsidRDefault="00E0476E" w:rsidP="00D239C7">
      <w:r>
        <w:separator/>
      </w:r>
    </w:p>
  </w:footnote>
  <w:footnote w:type="continuationSeparator" w:id="0">
    <w:p w:rsidR="00E0476E" w:rsidRDefault="00E0476E"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D1C21DB"/>
    <w:multiLevelType w:val="hybridMultilevel"/>
    <w:tmpl w:val="5B0064E0"/>
    <w:numStyleLink w:val="Estiloimportado5"/>
  </w:abstractNum>
  <w:abstractNum w:abstractNumId="54"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5"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
  </w:num>
  <w:num w:numId="5">
    <w:abstractNumId w:val="39"/>
  </w:num>
  <w:num w:numId="6">
    <w:abstractNumId w:val="49"/>
  </w:num>
  <w:num w:numId="7">
    <w:abstractNumId w:val="38"/>
  </w:num>
  <w:num w:numId="8">
    <w:abstractNumId w:val="6"/>
  </w:num>
  <w:num w:numId="9">
    <w:abstractNumId w:val="2"/>
  </w:num>
  <w:num w:numId="10">
    <w:abstractNumId w:val="32"/>
  </w:num>
  <w:num w:numId="11">
    <w:abstractNumId w:val="40"/>
  </w:num>
  <w:num w:numId="12">
    <w:abstractNumId w:val="26"/>
  </w:num>
  <w:num w:numId="13">
    <w:abstractNumId w:val="1"/>
  </w:num>
  <w:num w:numId="14">
    <w:abstractNumId w:val="43"/>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1"/>
  </w:num>
  <w:num w:numId="22">
    <w:abstractNumId w:val="9"/>
  </w:num>
  <w:num w:numId="23">
    <w:abstractNumId w:val="30"/>
  </w:num>
  <w:num w:numId="24">
    <w:abstractNumId w:val="20"/>
  </w:num>
  <w:num w:numId="25">
    <w:abstractNumId w:val="0"/>
  </w:num>
  <w:num w:numId="26">
    <w:abstractNumId w:val="42"/>
  </w:num>
  <w:num w:numId="27">
    <w:abstractNumId w:val="24"/>
    <w:lvlOverride w:ilvl="0">
      <w:lvl w:ilvl="0" w:tplc="8516437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6"/>
  </w:num>
  <w:num w:numId="37">
    <w:abstractNumId w:val="44"/>
  </w:num>
  <w:num w:numId="38">
    <w:abstractNumId w:val="36"/>
  </w:num>
  <w:num w:numId="39">
    <w:abstractNumId w:val="50"/>
  </w:num>
  <w:num w:numId="40">
    <w:abstractNumId w:val="55"/>
  </w:num>
  <w:num w:numId="41">
    <w:abstractNumId w:val="21"/>
  </w:num>
  <w:num w:numId="42">
    <w:abstractNumId w:val="27"/>
  </w:num>
  <w:num w:numId="43">
    <w:abstractNumId w:val="7"/>
  </w:num>
  <w:num w:numId="44">
    <w:abstractNumId w:val="37"/>
  </w:num>
  <w:num w:numId="45">
    <w:abstractNumId w:val="12"/>
  </w:num>
  <w:num w:numId="46">
    <w:abstractNumId w:val="47"/>
  </w:num>
  <w:num w:numId="47">
    <w:abstractNumId w:val="11"/>
  </w:num>
  <w:num w:numId="48">
    <w:abstractNumId w:val="41"/>
  </w:num>
  <w:num w:numId="49">
    <w:abstractNumId w:val="45"/>
  </w:num>
  <w:num w:numId="50">
    <w:abstractNumId w:val="22"/>
  </w:num>
  <w:num w:numId="51">
    <w:abstractNumId w:val="1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FBEE89DE">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1"/>
  </w:num>
  <w:num w:numId="56">
    <w:abstractNumId w:val="28"/>
  </w:num>
  <w:num w:numId="57">
    <w:abstractNumId w:val="19"/>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E505F"/>
    <w:rsid w:val="000F0521"/>
    <w:rsid w:val="000F64A7"/>
    <w:rsid w:val="0011395B"/>
    <w:rsid w:val="00160448"/>
    <w:rsid w:val="00170AA0"/>
    <w:rsid w:val="00195854"/>
    <w:rsid w:val="001A0BA7"/>
    <w:rsid w:val="001A110B"/>
    <w:rsid w:val="001A6D63"/>
    <w:rsid w:val="001D62C5"/>
    <w:rsid w:val="0020198C"/>
    <w:rsid w:val="00211BDF"/>
    <w:rsid w:val="00227F56"/>
    <w:rsid w:val="0024341A"/>
    <w:rsid w:val="002529DF"/>
    <w:rsid w:val="002730FD"/>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42B60"/>
    <w:rsid w:val="00444D47"/>
    <w:rsid w:val="00464B56"/>
    <w:rsid w:val="004C2DDC"/>
    <w:rsid w:val="004C49FF"/>
    <w:rsid w:val="0050374B"/>
    <w:rsid w:val="00530265"/>
    <w:rsid w:val="00583332"/>
    <w:rsid w:val="00584F9E"/>
    <w:rsid w:val="005A7CBB"/>
    <w:rsid w:val="005C0703"/>
    <w:rsid w:val="005D7A5C"/>
    <w:rsid w:val="005D7F6E"/>
    <w:rsid w:val="005F08A2"/>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82C9B"/>
    <w:rsid w:val="007861B1"/>
    <w:rsid w:val="007A5709"/>
    <w:rsid w:val="007E65BD"/>
    <w:rsid w:val="007F1605"/>
    <w:rsid w:val="00811EFB"/>
    <w:rsid w:val="00813EB2"/>
    <w:rsid w:val="0085008D"/>
    <w:rsid w:val="008553EE"/>
    <w:rsid w:val="008578CD"/>
    <w:rsid w:val="008A4F73"/>
    <w:rsid w:val="008C73F4"/>
    <w:rsid w:val="008D55D2"/>
    <w:rsid w:val="00907591"/>
    <w:rsid w:val="00910B4B"/>
    <w:rsid w:val="00920939"/>
    <w:rsid w:val="0097301F"/>
    <w:rsid w:val="00975A85"/>
    <w:rsid w:val="009842C7"/>
    <w:rsid w:val="009A68B0"/>
    <w:rsid w:val="009B269F"/>
    <w:rsid w:val="009D1608"/>
    <w:rsid w:val="009D37EF"/>
    <w:rsid w:val="009D6785"/>
    <w:rsid w:val="009E32FA"/>
    <w:rsid w:val="009E3749"/>
    <w:rsid w:val="009F26EF"/>
    <w:rsid w:val="009F5F1F"/>
    <w:rsid w:val="00A277C4"/>
    <w:rsid w:val="00A27FAE"/>
    <w:rsid w:val="00A30C19"/>
    <w:rsid w:val="00A71998"/>
    <w:rsid w:val="00A950AB"/>
    <w:rsid w:val="00AC35C2"/>
    <w:rsid w:val="00AC4721"/>
    <w:rsid w:val="00AE7C4D"/>
    <w:rsid w:val="00AF09B0"/>
    <w:rsid w:val="00AF3FFD"/>
    <w:rsid w:val="00B10755"/>
    <w:rsid w:val="00B1682B"/>
    <w:rsid w:val="00B33989"/>
    <w:rsid w:val="00B34A14"/>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7C3A-1AE1-4C2F-86D9-37B21667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3559</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JUDITH MOLANO DELGADILLO</cp:lastModifiedBy>
  <cp:revision>4</cp:revision>
  <cp:lastPrinted>2019-05-23T22:28:00Z</cp:lastPrinted>
  <dcterms:created xsi:type="dcterms:W3CDTF">2019-05-23T22:21:00Z</dcterms:created>
  <dcterms:modified xsi:type="dcterms:W3CDTF">2019-05-23T22:41:00Z</dcterms:modified>
</cp:coreProperties>
</file>