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E1" w:rsidRDefault="001F446A" w:rsidP="008E54E1">
      <w:pPr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32.1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PARA COTIZAR</w:t>
      </w:r>
      <w:r w:rsidR="00715722">
        <w:rPr>
          <w:rFonts w:ascii="Arial" w:hAnsi="Arial" w:cs="Arial"/>
          <w:b/>
          <w:sz w:val="22"/>
          <w:szCs w:val="22"/>
          <w:lang w:val="es-CO"/>
        </w:rPr>
        <w:t xml:space="preserve">: </w:t>
      </w:r>
      <w:r w:rsidR="006F2B49">
        <w:rPr>
          <w:rFonts w:ascii="Arial" w:hAnsi="Arial" w:cs="Arial"/>
          <w:b/>
          <w:sz w:val="22"/>
          <w:szCs w:val="22"/>
          <w:lang w:val="es-CO"/>
        </w:rPr>
        <w:t xml:space="preserve">19 </w:t>
      </w:r>
      <w:r w:rsidR="00EE6778">
        <w:rPr>
          <w:rFonts w:ascii="Arial" w:hAnsi="Arial" w:cs="Arial"/>
          <w:b/>
          <w:sz w:val="22"/>
          <w:szCs w:val="22"/>
          <w:lang w:val="es-CO"/>
        </w:rPr>
        <w:t xml:space="preserve">de </w:t>
      </w:r>
      <w:r w:rsidR="006F2B49">
        <w:rPr>
          <w:rFonts w:ascii="Arial" w:hAnsi="Arial" w:cs="Arial"/>
          <w:b/>
          <w:sz w:val="22"/>
          <w:szCs w:val="22"/>
          <w:lang w:val="es-CO"/>
        </w:rPr>
        <w:t>Diciembre</w:t>
      </w:r>
      <w:r w:rsidR="00E511B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EE6778">
        <w:rPr>
          <w:rFonts w:ascii="Arial" w:hAnsi="Arial" w:cs="Arial"/>
          <w:b/>
          <w:sz w:val="22"/>
          <w:szCs w:val="22"/>
          <w:lang w:val="es-CO"/>
        </w:rPr>
        <w:t>de 2018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00CE8" w:rsidRPr="00D6204F" w:rsidTr="00EC2AE4">
        <w:trPr>
          <w:trHeight w:val="622"/>
        </w:trPr>
        <w:tc>
          <w:tcPr>
            <w:tcW w:w="9209" w:type="dxa"/>
          </w:tcPr>
          <w:p w:rsidR="00000CE8" w:rsidRPr="007C4898" w:rsidRDefault="007C4898" w:rsidP="00EF0269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C4898">
              <w:rPr>
                <w:rFonts w:ascii="Arial" w:hAnsi="Arial" w:cs="Arial"/>
                <w:sz w:val="22"/>
                <w:szCs w:val="22"/>
              </w:rPr>
              <w:t>Adquirir material bibliográfico para la Facultad de Ciencias Administrativas Económicas y Contables, Facultad de Ciencias Agropecuarias, Facultad de Ciencias del Deporte y la Educación Física, Facultad de Ingeniería, Facultad de Ciencias de la Salud y para la Facultad de Ciencias Sociales, Humanidades y Ciencias Políticas de la Universidad de Cundinamarca en su sede, seccionales y extensiones.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9232" w:type="dxa"/>
        <w:tblInd w:w="-5" w:type="dxa"/>
        <w:tblLook w:val="04A0" w:firstRow="1" w:lastRow="0" w:firstColumn="1" w:lastColumn="0" w:noHBand="0" w:noVBand="1"/>
      </w:tblPr>
      <w:tblGrid>
        <w:gridCol w:w="9232"/>
      </w:tblGrid>
      <w:tr w:rsidR="00806310" w:rsidRPr="00D6204F" w:rsidTr="00E8251B">
        <w:trPr>
          <w:trHeight w:val="647"/>
        </w:trPr>
        <w:tc>
          <w:tcPr>
            <w:tcW w:w="9232" w:type="dxa"/>
          </w:tcPr>
          <w:p w:rsidR="00806310" w:rsidRPr="00D6204F" w:rsidRDefault="00806310" w:rsidP="0080631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06310" w:rsidRPr="00D6204F" w:rsidRDefault="00BE7E60" w:rsidP="0080631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CDP </w:t>
            </w:r>
            <w:r w:rsidR="00056024">
              <w:rPr>
                <w:rFonts w:ascii="Arial" w:hAnsi="Arial" w:cs="Arial"/>
                <w:sz w:val="22"/>
                <w:szCs w:val="22"/>
                <w:lang w:val="es-CO"/>
              </w:rPr>
              <w:t>1648 de 12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de </w:t>
            </w:r>
            <w:r w:rsidR="00056024">
              <w:rPr>
                <w:rFonts w:ascii="Arial" w:hAnsi="Arial" w:cs="Arial"/>
                <w:sz w:val="22"/>
                <w:szCs w:val="22"/>
                <w:lang w:val="es-CO"/>
              </w:rPr>
              <w:t>octubre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de 2018 por valor de $ </w:t>
            </w:r>
            <w:r w:rsidR="00056024">
              <w:rPr>
                <w:rFonts w:ascii="Arial" w:hAnsi="Arial" w:cs="Arial"/>
                <w:sz w:val="22"/>
                <w:szCs w:val="22"/>
                <w:lang w:val="es-CO"/>
              </w:rPr>
              <w:t>384.194.300</w:t>
            </w:r>
            <w:r w:rsidR="00E511B3">
              <w:rPr>
                <w:rFonts w:ascii="Arial" w:hAnsi="Arial" w:cs="Arial"/>
                <w:sz w:val="22"/>
                <w:szCs w:val="22"/>
                <w:lang w:val="es-CO"/>
              </w:rPr>
              <w:t xml:space="preserve"> Incluido IVA.</w:t>
            </w:r>
          </w:p>
          <w:p w:rsidR="00806310" w:rsidRPr="00D6204F" w:rsidRDefault="00806310" w:rsidP="0080631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tbl>
      <w:tblPr>
        <w:tblStyle w:val="Tablaconcuadrcula"/>
        <w:tblW w:w="5316" w:type="pct"/>
        <w:tblLook w:val="04A0" w:firstRow="1" w:lastRow="0" w:firstColumn="1" w:lastColumn="0" w:noHBand="0" w:noVBand="1"/>
      </w:tblPr>
      <w:tblGrid>
        <w:gridCol w:w="8783"/>
      </w:tblGrid>
      <w:tr w:rsidR="007475DA" w:rsidRPr="00D6204F" w:rsidTr="004A591B">
        <w:trPr>
          <w:trHeight w:val="841"/>
        </w:trPr>
        <w:tc>
          <w:tcPr>
            <w:tcW w:w="5000" w:type="pct"/>
          </w:tcPr>
          <w:p w:rsidR="00EC2AE4" w:rsidRDefault="00EC2AE4" w:rsidP="00000CE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6935A2" w:rsidRPr="00D6204F" w:rsidRDefault="00F57538" w:rsidP="00000CE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Ver</w:t>
            </w:r>
            <w:r w:rsidR="00B71675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s-CO"/>
              </w:rPr>
              <w:t>cuadro en Excel.</w:t>
            </w:r>
          </w:p>
        </w:tc>
      </w:tr>
    </w:tbl>
    <w:p w:rsidR="007475DA" w:rsidRPr="00D6204F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p w:rsidR="0071409A" w:rsidRPr="00D6204F" w:rsidRDefault="0071409A" w:rsidP="0071409A">
      <w:pPr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9241" w:type="dxa"/>
        <w:tblInd w:w="-5" w:type="dxa"/>
        <w:tblLook w:val="04A0" w:firstRow="1" w:lastRow="0" w:firstColumn="1" w:lastColumn="0" w:noHBand="0" w:noVBand="1"/>
      </w:tblPr>
      <w:tblGrid>
        <w:gridCol w:w="9241"/>
      </w:tblGrid>
      <w:tr w:rsidR="007475DA" w:rsidRPr="00D6204F" w:rsidTr="00E8251B">
        <w:trPr>
          <w:trHeight w:val="294"/>
        </w:trPr>
        <w:tc>
          <w:tcPr>
            <w:tcW w:w="9241" w:type="dxa"/>
          </w:tcPr>
          <w:p w:rsidR="007475DA" w:rsidRPr="00074524" w:rsidRDefault="00074524" w:rsidP="0007452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74524">
              <w:rPr>
                <w:rFonts w:ascii="Arial" w:hAnsi="Arial" w:cs="Arial"/>
                <w:b/>
                <w:sz w:val="22"/>
                <w:szCs w:val="22"/>
                <w:lang w:val="es-CO"/>
              </w:rPr>
              <w:t>Diligenciar la lista del material bibliográfico correspondiente a cada facultad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, </w:t>
            </w:r>
            <w:r w:rsidRPr="00074524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archivo en Excel adjunto. </w:t>
            </w: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A7D91" w:rsidRPr="00D6204F" w:rsidRDefault="008A7D91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96641" w:rsidRPr="00D6204F" w:rsidTr="00211C54">
        <w:trPr>
          <w:trHeight w:val="555"/>
        </w:trPr>
        <w:tc>
          <w:tcPr>
            <w:tcW w:w="9355" w:type="dxa"/>
          </w:tcPr>
          <w:p w:rsidR="00996641" w:rsidRPr="008A7D91" w:rsidRDefault="008A7D91" w:rsidP="008A7D91">
            <w:pPr>
              <w:jc w:val="both"/>
              <w:rPr>
                <w:rFonts w:ascii="Arial" w:hAnsi="Arial" w:cs="Arial"/>
                <w:sz w:val="22"/>
              </w:rPr>
            </w:pPr>
            <w:r w:rsidRPr="008A7D91">
              <w:rPr>
                <w:rFonts w:ascii="Arial" w:hAnsi="Arial" w:cs="Arial"/>
                <w:sz w:val="22"/>
              </w:rPr>
              <w:t>Los bienes deberán ser entregados por el proveedor al Profesional IV de la Universidad de Cundinamarca, sede Fusagasug</w:t>
            </w:r>
            <w:r>
              <w:rPr>
                <w:rFonts w:ascii="Arial" w:hAnsi="Arial" w:cs="Arial"/>
                <w:sz w:val="22"/>
              </w:rPr>
              <w:t xml:space="preserve">á con verificación por parte de </w:t>
            </w:r>
            <w:r w:rsidRPr="008A7D91">
              <w:rPr>
                <w:rFonts w:ascii="Arial" w:hAnsi="Arial" w:cs="Arial"/>
                <w:sz w:val="22"/>
              </w:rPr>
              <w:t>la oficina de almacén, en el horario de Lunes a Viernes de 8:30 a.m. a 11.30 a.m. y de 2.30 p.m. a 4.30 p.m. La Universida</w:t>
            </w:r>
            <w:r>
              <w:rPr>
                <w:rFonts w:ascii="Arial" w:hAnsi="Arial" w:cs="Arial"/>
                <w:sz w:val="22"/>
              </w:rPr>
              <w:t xml:space="preserve">d no responde por elementos y/o </w:t>
            </w:r>
            <w:r w:rsidRPr="008A7D91">
              <w:rPr>
                <w:rFonts w:ascii="Arial" w:hAnsi="Arial" w:cs="Arial"/>
                <w:sz w:val="22"/>
              </w:rPr>
              <w:t>servicios entregados en lugares diferentes a los estab</w:t>
            </w:r>
            <w:r>
              <w:rPr>
                <w:rFonts w:ascii="Arial" w:hAnsi="Arial" w:cs="Arial"/>
                <w:sz w:val="22"/>
              </w:rPr>
              <w:t>lecidos en el presente numeral.</w:t>
            </w: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996641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9008" w:type="dxa"/>
        <w:tblLook w:val="04A0" w:firstRow="1" w:lastRow="0" w:firstColumn="1" w:lastColumn="0" w:noHBand="0" w:noVBand="1"/>
      </w:tblPr>
      <w:tblGrid>
        <w:gridCol w:w="9008"/>
      </w:tblGrid>
      <w:tr w:rsidR="00996641" w:rsidRPr="00D6204F" w:rsidTr="00211C54">
        <w:trPr>
          <w:trHeight w:val="347"/>
        </w:trPr>
        <w:tc>
          <w:tcPr>
            <w:tcW w:w="9008" w:type="dxa"/>
          </w:tcPr>
          <w:p w:rsidR="00C86C7E" w:rsidRPr="00426526" w:rsidRDefault="008A7D91" w:rsidP="00C5515D">
            <w:pPr>
              <w:jc w:val="both"/>
              <w:rPr>
                <w:rFonts w:ascii="Arial" w:hAnsi="Arial" w:cs="Arial"/>
                <w:sz w:val="22"/>
              </w:rPr>
            </w:pPr>
            <w:r w:rsidRPr="008A7D91">
              <w:rPr>
                <w:rFonts w:ascii="Arial" w:hAnsi="Arial" w:cs="Arial"/>
                <w:sz w:val="22"/>
              </w:rPr>
              <w:t>El plazo de ejecución será de Dos (2) meses, contados a partir del cumplimiento de los requisitos de perfeccionamiento y ejecución del contrato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A7D91" w:rsidRDefault="008A7D91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p w:rsidR="008A7D91" w:rsidRDefault="008A7D91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p w:rsidR="008A7D91" w:rsidRDefault="008A7D91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p w:rsidR="008A7D91" w:rsidRDefault="008A7D91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p w:rsidR="008A7D91" w:rsidRDefault="008A7D91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8B7D85" w:rsidRPr="00D6204F" w:rsidRDefault="008B7D8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9083" w:type="dxa"/>
        <w:tblLook w:val="04A0" w:firstRow="1" w:lastRow="0" w:firstColumn="1" w:lastColumn="0" w:noHBand="0" w:noVBand="1"/>
      </w:tblPr>
      <w:tblGrid>
        <w:gridCol w:w="9083"/>
      </w:tblGrid>
      <w:tr w:rsidR="00C5773E" w:rsidRPr="00D6204F" w:rsidTr="00F075B2">
        <w:trPr>
          <w:trHeight w:val="1688"/>
        </w:trPr>
        <w:tc>
          <w:tcPr>
            <w:tcW w:w="9083" w:type="dxa"/>
          </w:tcPr>
          <w:p w:rsidR="008B7D85" w:rsidRDefault="008B7D85" w:rsidP="00D5743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D57437" w:rsidRPr="00D57437" w:rsidRDefault="00D57437" w:rsidP="00D5743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57437">
              <w:rPr>
                <w:rFonts w:ascii="Arial" w:hAnsi="Arial" w:cs="Arial"/>
                <w:sz w:val="22"/>
                <w:szCs w:val="22"/>
                <w:lang w:val="es-CO"/>
              </w:rPr>
              <w:t xml:space="preserve">1 Hacer entrega del BIEN, SERVICIO u OBRA con las características técnicas descritas solicitadas y en cumplimiento de los estándares de calidad vigentes. </w:t>
            </w:r>
          </w:p>
          <w:p w:rsidR="00D57437" w:rsidRPr="00D57437" w:rsidRDefault="00D57437" w:rsidP="00D5743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57437">
              <w:rPr>
                <w:rFonts w:ascii="Arial" w:hAnsi="Arial" w:cs="Arial"/>
                <w:sz w:val="22"/>
                <w:szCs w:val="22"/>
                <w:lang w:val="es-CO"/>
              </w:rPr>
              <w:t>2 El proveedor se compromete a conocer, entender, comunicar y cumplir lo establecido en la Resolución 000050 de 2018 "Por la cual se establece la Política de tratamiento de Datos de los titulares de la Universidad de Cundinamarca</w:t>
            </w:r>
            <w:proofErr w:type="gramStart"/>
            <w:r w:rsidRPr="00D57437">
              <w:rPr>
                <w:rFonts w:ascii="Arial" w:hAnsi="Arial" w:cs="Arial"/>
                <w:sz w:val="22"/>
                <w:szCs w:val="22"/>
                <w:lang w:val="es-CO"/>
              </w:rPr>
              <w:t xml:space="preserve">"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  <w:proofErr w:type="gramEnd"/>
          </w:p>
          <w:p w:rsidR="00D57437" w:rsidRPr="00D57437" w:rsidRDefault="00D57437" w:rsidP="00D5743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57437">
              <w:rPr>
                <w:rFonts w:ascii="Arial" w:hAnsi="Arial" w:cs="Arial"/>
                <w:sz w:val="22"/>
                <w:szCs w:val="22"/>
                <w:lang w:val="es-CO"/>
              </w:rPr>
              <w:t xml:space="preserve">3 El proveedor se compromete a mantener estricta reserva y confidencialidad sobre la información que conozca por causa o con ocasión de la ejecución del objeto contractual. </w:t>
            </w:r>
          </w:p>
          <w:p w:rsidR="00D57437" w:rsidRPr="00D57437" w:rsidRDefault="00D57437" w:rsidP="00D5743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57437">
              <w:rPr>
                <w:rFonts w:ascii="Arial" w:hAnsi="Arial" w:cs="Arial"/>
                <w:sz w:val="22"/>
                <w:szCs w:val="22"/>
                <w:lang w:val="es-CO"/>
              </w:rPr>
              <w:t>4 El proveedor debe conocer, entender, comunicar y cumplir lo establecido en la Resolución 185 de 2016 "Por la cual se adopta el Sistema de Gestión de Seguridad y Salud en el trabajo SG-SST y actualiza la Política de Seguridad y Salud en el trabajo de la Universidad de Cundinamarca</w:t>
            </w:r>
            <w:proofErr w:type="gramStart"/>
            <w:r w:rsidRPr="00D57437">
              <w:rPr>
                <w:rFonts w:ascii="Arial" w:hAnsi="Arial" w:cs="Arial"/>
                <w:sz w:val="22"/>
                <w:szCs w:val="22"/>
                <w:lang w:val="es-CO"/>
              </w:rPr>
              <w:t xml:space="preserve">"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  <w:proofErr w:type="gramEnd"/>
          </w:p>
          <w:p w:rsidR="00D57437" w:rsidRPr="00D57437" w:rsidRDefault="00D57437" w:rsidP="00D5743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57437">
              <w:rPr>
                <w:rFonts w:ascii="Arial" w:hAnsi="Arial" w:cs="Arial"/>
                <w:sz w:val="22"/>
                <w:szCs w:val="22"/>
                <w:lang w:val="es-CO"/>
              </w:rPr>
              <w:t>5 El proveedor debe conocer, entender, comunicar y cumplir lo establecido en la Resolución 187 de 2016 "Por la cual se crea y adopta la Política de Seguridad vial de la Universidad de Cundinamarca"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  <w:r w:rsidRPr="00D5743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:rsidR="00D57437" w:rsidRPr="00D57437" w:rsidRDefault="00D57437" w:rsidP="00D5743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57437">
              <w:rPr>
                <w:rFonts w:ascii="Arial" w:hAnsi="Arial" w:cs="Arial"/>
                <w:sz w:val="22"/>
                <w:szCs w:val="22"/>
                <w:lang w:val="es-CO"/>
              </w:rPr>
              <w:t>6 Las demás que se deriven de la ley y la naturaleza del BIEN, SERVICIO u OBRA a contratar.</w:t>
            </w:r>
          </w:p>
          <w:p w:rsidR="00D57437" w:rsidRPr="00D57437" w:rsidRDefault="00D57437" w:rsidP="00D5743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57437">
              <w:rPr>
                <w:rFonts w:ascii="Arial" w:hAnsi="Arial" w:cs="Arial"/>
                <w:sz w:val="22"/>
                <w:szCs w:val="22"/>
                <w:lang w:val="es-CO"/>
              </w:rPr>
              <w:t>7 Conocer y dar estricto cumplimiento al Manual para contratistas, subcontratistas y proveedores de la Univer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sidad de Cundinamarca (ATHM023).</w:t>
            </w:r>
          </w:p>
          <w:p w:rsidR="00D57437" w:rsidRPr="00D57437" w:rsidRDefault="00D57437" w:rsidP="00D5743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57437">
              <w:rPr>
                <w:rFonts w:ascii="Arial" w:hAnsi="Arial" w:cs="Arial"/>
                <w:sz w:val="22"/>
                <w:szCs w:val="22"/>
                <w:lang w:val="es-CO"/>
              </w:rPr>
              <w:t>8 Realizar la entrega de los elementos en el lugar descrito en el numeral 7. Lugar de ejecución o lugar de entrega.</w:t>
            </w:r>
          </w:p>
          <w:p w:rsidR="00A24966" w:rsidRPr="00D6204F" w:rsidRDefault="00D57437" w:rsidP="00D5743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57437">
              <w:rPr>
                <w:rFonts w:ascii="Arial" w:hAnsi="Arial" w:cs="Arial"/>
                <w:sz w:val="22"/>
                <w:szCs w:val="22"/>
                <w:lang w:val="es-CO"/>
              </w:rPr>
              <w:t>9 Responder por los elementos de mala calidad o que presenten partes defectuosas, para lo cual deberán ser cambiados o reponer las unidades imperfectas en el término de cinco (5) días hábiles siguientes a la reclamación por parte de la Universidad de Cundinamarca a través del supervisor. Todos los costos que se originen por esta obligación deben ser cubiertos por el CONTRATISTA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3402"/>
        <w:gridCol w:w="1701"/>
        <w:gridCol w:w="1320"/>
      </w:tblGrid>
      <w:tr w:rsidR="00C97B44" w:rsidRPr="00D6204F" w:rsidTr="00FB3DBD">
        <w:tc>
          <w:tcPr>
            <w:tcW w:w="1985" w:type="dxa"/>
          </w:tcPr>
          <w:p w:rsidR="00C97B44" w:rsidRPr="00D6204F" w:rsidRDefault="00C97B44" w:rsidP="00FB3DBD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3402" w:type="dxa"/>
          </w:tcPr>
          <w:p w:rsidR="00C97B44" w:rsidRPr="00D6204F" w:rsidRDefault="00C97B44" w:rsidP="00FB3DB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701" w:type="dxa"/>
          </w:tcPr>
          <w:p w:rsidR="00C97B44" w:rsidRPr="00D6204F" w:rsidRDefault="00C97B44" w:rsidP="00FB3DBD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320" w:type="dxa"/>
          </w:tcPr>
          <w:p w:rsidR="00C97B44" w:rsidRPr="00D6204F" w:rsidRDefault="00C97B44" w:rsidP="00FB3DBD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97B44" w:rsidRPr="00D6204F" w:rsidTr="00FB3DBD">
        <w:tc>
          <w:tcPr>
            <w:tcW w:w="1985" w:type="dxa"/>
          </w:tcPr>
          <w:p w:rsidR="00C97B44" w:rsidRPr="00D6204F" w:rsidRDefault="00C97B44" w:rsidP="00FB3DB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3402" w:type="dxa"/>
          </w:tcPr>
          <w:p w:rsidR="00C97B44" w:rsidRPr="006C6CE0" w:rsidRDefault="00C97B44" w:rsidP="00FB3DB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C6CE0">
              <w:rPr>
                <w:rFonts w:ascii="Arial" w:hAnsi="Arial" w:cs="Arial"/>
                <w:iCs/>
                <w:szCs w:val="22"/>
                <w:lang w:val="es-CO"/>
              </w:rPr>
              <w:t>Cumplimiento de las obligaciones surgidas del contrato</w:t>
            </w:r>
          </w:p>
        </w:tc>
        <w:tc>
          <w:tcPr>
            <w:tcW w:w="1701" w:type="dxa"/>
          </w:tcPr>
          <w:p w:rsidR="00C97B44" w:rsidRPr="00D6204F" w:rsidRDefault="00C97B44" w:rsidP="00FB3DB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320" w:type="dxa"/>
          </w:tcPr>
          <w:p w:rsidR="00C97B44" w:rsidRPr="00D6204F" w:rsidRDefault="00C97B44" w:rsidP="00FB3DB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97B44" w:rsidRPr="00D6204F" w:rsidTr="00FB3DBD">
        <w:tc>
          <w:tcPr>
            <w:tcW w:w="1985" w:type="dxa"/>
          </w:tcPr>
          <w:p w:rsidR="00C97B44" w:rsidRPr="00D6204F" w:rsidRDefault="00C97B44" w:rsidP="00FB3DB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3402" w:type="dxa"/>
          </w:tcPr>
          <w:p w:rsidR="00C97B44" w:rsidRPr="006C6CE0" w:rsidRDefault="00C97B44" w:rsidP="00FB3DB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C6CE0">
              <w:rPr>
                <w:rFonts w:ascii="Arial" w:hAnsi="Arial" w:cs="Arial"/>
                <w:iCs/>
                <w:szCs w:val="22"/>
              </w:rPr>
              <w:t>Prestaciones sociales</w:t>
            </w:r>
          </w:p>
        </w:tc>
        <w:tc>
          <w:tcPr>
            <w:tcW w:w="1701" w:type="dxa"/>
          </w:tcPr>
          <w:p w:rsidR="00C97B44" w:rsidRPr="00D6204F" w:rsidRDefault="00C97B44" w:rsidP="00FB3DB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320" w:type="dxa"/>
          </w:tcPr>
          <w:p w:rsidR="00C97B44" w:rsidRPr="00D6204F" w:rsidRDefault="00C97B44" w:rsidP="00FB3DB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97B44" w:rsidRPr="00D6204F" w:rsidTr="00FB3DBD">
        <w:tc>
          <w:tcPr>
            <w:tcW w:w="1985" w:type="dxa"/>
          </w:tcPr>
          <w:p w:rsidR="00C97B44" w:rsidRPr="00D6204F" w:rsidRDefault="00C97B44" w:rsidP="00FB3DB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3402" w:type="dxa"/>
          </w:tcPr>
          <w:p w:rsidR="00C97B44" w:rsidRPr="006C6CE0" w:rsidRDefault="00C97B44" w:rsidP="00FB3DB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C6CE0">
              <w:rPr>
                <w:rFonts w:ascii="Arial" w:hAnsi="Arial" w:cs="Arial"/>
                <w:iCs/>
                <w:szCs w:val="22"/>
              </w:rPr>
              <w:t>Calidad del Servicio</w:t>
            </w:r>
          </w:p>
        </w:tc>
        <w:tc>
          <w:tcPr>
            <w:tcW w:w="1701" w:type="dxa"/>
          </w:tcPr>
          <w:p w:rsidR="00C97B44" w:rsidRPr="00D6204F" w:rsidRDefault="00C97B44" w:rsidP="00FB3DB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320" w:type="dxa"/>
          </w:tcPr>
          <w:p w:rsidR="00C97B44" w:rsidRPr="00D6204F" w:rsidRDefault="00C97B44" w:rsidP="00FB3DB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6C6CE0" w:rsidRDefault="006C6CE0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lastRenderedPageBreak/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D6204F" w:rsidRDefault="008B7D85" w:rsidP="00C97F6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Dos pagos.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6C6CE0" w:rsidRDefault="006C6CE0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elementos requeridos y requisitos 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6C6513" w:rsidRPr="00D6204F" w:rsidRDefault="006C6513" w:rsidP="009361B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41010A" w:rsidRPr="00D6204F" w:rsidRDefault="0041010A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BE7EA6" w:rsidRDefault="00BE7EA6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BE7EA6" w:rsidRDefault="00BE7EA6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BE7EA6" w:rsidRPr="00BE7EA6" w:rsidRDefault="00BE7EA6" w:rsidP="00BE7EA6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E7EA6">
        <w:rPr>
          <w:rFonts w:ascii="Arial" w:hAnsi="Arial" w:cs="Arial"/>
          <w:b/>
          <w:sz w:val="22"/>
          <w:szCs w:val="22"/>
          <w:lang w:val="es-CO"/>
        </w:rPr>
        <w:lastRenderedPageBreak/>
        <w:t>EVALUACIÓN ECONOMICA</w:t>
      </w:r>
    </w:p>
    <w:p w:rsidR="00BE7EA6" w:rsidRPr="00BE7EA6" w:rsidRDefault="00BE7EA6" w:rsidP="00BE7EA6">
      <w:pPr>
        <w:pStyle w:val="xmsonormal"/>
        <w:shd w:val="clear" w:color="auto" w:fill="FFFFFF"/>
        <w:spacing w:after="0" w:afterAutospacing="0"/>
        <w:jc w:val="both"/>
        <w:rPr>
          <w:sz w:val="22"/>
          <w:szCs w:val="22"/>
        </w:rPr>
      </w:pPr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Tenga en cuenta que los criterios establecidos para la evaluación de las propuestas corresponden al cumplimiento de las especificaciones técnicas y a la oferta más favorable para la entidad. </w:t>
      </w:r>
    </w:p>
    <w:p w:rsidR="00BE7EA6" w:rsidRPr="00BE7EA6" w:rsidRDefault="00BE7EA6" w:rsidP="00BE7EA6">
      <w:pPr>
        <w:pStyle w:val="xmsonormal"/>
        <w:shd w:val="clear" w:color="auto" w:fill="FFFFFF"/>
        <w:spacing w:after="0" w:afterAutospacing="0"/>
        <w:jc w:val="both"/>
        <w:rPr>
          <w:sz w:val="22"/>
          <w:szCs w:val="22"/>
        </w:rPr>
      </w:pPr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 La evaluación económica</w:t>
      </w:r>
      <w:bookmarkStart w:id="1" w:name="x_x_x_x__ftnref1"/>
      <w:bookmarkEnd w:id="1"/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fldChar w:fldCharType="begin"/>
      </w:r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instrText xml:space="preserve"> HYPERLINK "file:///Z:\\COMPRAS%20VIGENCIA%202018\\CONTRATACI%C3%93N%20DIRECTA%20JUNIO%2019%20EN%20ADELANTE\\NATHALIA\\F-OCS-%20HOGAR%20UBATE\\MODELO%20CORREO%20CONTRATACION%20DIRECTA.docx" \l "_ftn1" \t "_blank" </w:instrText>
      </w:r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fldChar w:fldCharType="separate"/>
      </w:r>
      <w:r w:rsidRPr="00BE7EA6">
        <w:rPr>
          <w:rStyle w:val="Hipervnculo"/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[1]</w:t>
      </w:r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fldChar w:fldCharType="end"/>
      </w:r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 se realizará de la siguiente manera:</w:t>
      </w:r>
    </w:p>
    <w:p w:rsidR="00BE7EA6" w:rsidRPr="00BE7EA6" w:rsidRDefault="00BE7EA6" w:rsidP="00BE7EA6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La propuesta económica deberá ser presentada bajo los requisitos contemplados en la solicitud de cotización, la cual debe ser diligenciada de manera clara y en forma completa (sin obviar ningún ítem o consideración técnica).</w:t>
      </w:r>
      <w:r w:rsidRPr="00BE7EA6">
        <w:rPr>
          <w:color w:val="000000"/>
          <w:sz w:val="22"/>
          <w:szCs w:val="22"/>
        </w:rPr>
        <w:t xml:space="preserve"> </w:t>
      </w:r>
    </w:p>
    <w:p w:rsidR="00BE7EA6" w:rsidRPr="00BE7EA6" w:rsidRDefault="00BE7EA6" w:rsidP="00BE7EA6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La evaluación económica se realizará sobre el valor de la oferta antes de I.V.A. – (Impuesto de Valor Agregado), si a ello hay lugar.</w:t>
      </w:r>
      <w:r w:rsidRPr="00BE7EA6">
        <w:rPr>
          <w:color w:val="000000"/>
          <w:sz w:val="22"/>
          <w:szCs w:val="22"/>
        </w:rPr>
        <w:t xml:space="preserve"> </w:t>
      </w:r>
    </w:p>
    <w:p w:rsidR="00BE7EA6" w:rsidRPr="00BE7EA6" w:rsidRDefault="00BE7EA6" w:rsidP="00BE7EA6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Se debe ofertar en pesos colombianos, discriminando el IVA sin centavos; si el oferente no discrimina el impuesto al valor agregado (IVA) y el bien causa dicho impuesto, la Universidad lo considerará INCLUIDO en el valor de la oferta y así lo aceptará el oferente con la sola presentación de su oferta.  Debe tenerse en cuenta que la Universidad de Cundinamarca realiza descuentos por los demás impuestos y estampillas aplicables</w:t>
      </w:r>
      <w:r w:rsidRPr="00BE7EA6">
        <w:rPr>
          <w:color w:val="000000"/>
          <w:sz w:val="22"/>
          <w:szCs w:val="22"/>
        </w:rPr>
        <w:t xml:space="preserve"> </w:t>
      </w:r>
    </w:p>
    <w:p w:rsidR="00BE7EA6" w:rsidRPr="00BE7EA6" w:rsidRDefault="00BE7EA6" w:rsidP="00BE7EA6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En caso de existir diferencia entre lo citado en letras y números, prevalecerá lo citado en letras. En caso de que se presenten errores aritméticos en las operaciones que generen los datos, LA UNIVERSIDAD DE CUNDINAMARCA efectuará las correcciones y obtendrá el valor de las ofertas; el valor corregido será el que se utilizará para la evaluación económica de las ofertas y para la determinación del puntaje, así como para la selección del contratista y la suscripción del contrato. Si al hacer la corrección aritmética esta supera el presupuesto oficial, la propuesta será RECHAZADA.</w:t>
      </w:r>
      <w:r w:rsidRPr="00BE7EA6">
        <w:rPr>
          <w:color w:val="000000"/>
          <w:sz w:val="22"/>
          <w:szCs w:val="22"/>
        </w:rPr>
        <w:t xml:space="preserve"> </w:t>
      </w:r>
    </w:p>
    <w:p w:rsidR="00BE7EA6" w:rsidRPr="00BE7EA6" w:rsidRDefault="00BE7EA6" w:rsidP="00BE7EA6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Las cantidades presentadas en el ANEXO N° 3-PROPUESTA ECONÓMICA, deben estar redondeadas a cero desde el valor unitario; en caso de que las </w:t>
      </w:r>
      <w:proofErr w:type="spellStart"/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cifrasde</w:t>
      </w:r>
      <w:proofErr w:type="spellEnd"/>
      <w:r w:rsidRPr="00BE7EA6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 la propuesta presentada no estén redondeadas a cero, la Universidad de Cundinamarca hará la respectiva corrección aritmética. Si al hacer dicha corrección, ésta supera el presupuesto oficial, la propuesta será RECHAZADA.</w:t>
      </w:r>
      <w:r w:rsidRPr="00BE7EA6">
        <w:rPr>
          <w:color w:val="000000"/>
          <w:sz w:val="22"/>
          <w:szCs w:val="22"/>
        </w:rPr>
        <w:t xml:space="preserve"> </w:t>
      </w:r>
    </w:p>
    <w:p w:rsidR="00BE7EA6" w:rsidRPr="00BE7EA6" w:rsidRDefault="00BE7EA6" w:rsidP="00BE7EA6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>Elaboró</w:t>
      </w:r>
      <w:r w:rsidR="00FF2837" w:rsidRPr="00D6204F">
        <w:rPr>
          <w:rFonts w:ascii="Arial" w:hAnsi="Arial" w:cs="Arial"/>
          <w:sz w:val="16"/>
          <w:szCs w:val="16"/>
          <w:lang w:val="es-CO"/>
        </w:rPr>
        <w:t>: Nathalia</w:t>
      </w:r>
      <w:r w:rsidR="001F446A">
        <w:rPr>
          <w:rFonts w:ascii="Arial" w:hAnsi="Arial" w:cs="Arial"/>
          <w:sz w:val="16"/>
          <w:szCs w:val="16"/>
          <w:lang w:val="es-CO"/>
        </w:rPr>
        <w:t xml:space="preserve"> </w:t>
      </w:r>
      <w:r w:rsidR="00EE6778">
        <w:rPr>
          <w:rFonts w:ascii="Arial" w:hAnsi="Arial" w:cs="Arial"/>
          <w:sz w:val="16"/>
          <w:szCs w:val="16"/>
          <w:lang w:val="es-CO"/>
        </w:rPr>
        <w:t>Rodríguez</w:t>
      </w:r>
      <w:r w:rsidR="001F446A">
        <w:rPr>
          <w:rFonts w:ascii="Arial" w:hAnsi="Arial" w:cs="Arial"/>
          <w:sz w:val="16"/>
          <w:szCs w:val="16"/>
          <w:lang w:val="es-CO"/>
        </w:rPr>
        <w:t xml:space="preserve"> </w:t>
      </w:r>
      <w:r w:rsidR="00FF2837">
        <w:rPr>
          <w:rFonts w:ascii="Arial" w:hAnsi="Arial" w:cs="Arial"/>
          <w:sz w:val="16"/>
          <w:szCs w:val="16"/>
          <w:lang w:val="es-CO"/>
        </w:rPr>
        <w:t>Núñez</w:t>
      </w:r>
      <w:r w:rsidR="009361B8">
        <w:rPr>
          <w:rFonts w:ascii="Arial" w:hAnsi="Arial" w:cs="Arial"/>
          <w:sz w:val="16"/>
          <w:szCs w:val="16"/>
          <w:lang w:val="es-CO"/>
        </w:rPr>
        <w:t>.</w:t>
      </w:r>
    </w:p>
    <w:p w:rsidR="00000CE8" w:rsidRPr="00632C29" w:rsidRDefault="00000CE8" w:rsidP="00000CE8">
      <w:pPr>
        <w:pStyle w:val="Prrafodelista"/>
        <w:ind w:left="0"/>
        <w:rPr>
          <w:rFonts w:ascii="Arial" w:hAnsi="Arial" w:cs="Arial"/>
          <w:sz w:val="12"/>
          <w:szCs w:val="16"/>
          <w:lang w:val="es-CO"/>
        </w:rPr>
      </w:pPr>
    </w:p>
    <w:p w:rsidR="00D2143A" w:rsidRPr="00632C29" w:rsidRDefault="001F446A" w:rsidP="00D43120">
      <w:pPr>
        <w:rPr>
          <w:rFonts w:ascii="Arial" w:hAnsi="Arial" w:cs="Arial"/>
          <w:sz w:val="16"/>
        </w:rPr>
      </w:pPr>
      <w:r w:rsidRPr="00632C29">
        <w:rPr>
          <w:rFonts w:ascii="Arial" w:hAnsi="Arial" w:cs="Arial"/>
          <w:sz w:val="18"/>
          <w:szCs w:val="22"/>
          <w:lang w:val="es-ES_tradnl"/>
        </w:rPr>
        <w:t>32.1.41.1</w:t>
      </w:r>
    </w:p>
    <w:sectPr w:rsidR="00D2143A" w:rsidRPr="00632C29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BD" w:rsidRDefault="00FB3DBD" w:rsidP="0044036E">
      <w:r>
        <w:separator/>
      </w:r>
    </w:p>
  </w:endnote>
  <w:endnote w:type="continuationSeparator" w:id="0">
    <w:p w:rsidR="00FB3DBD" w:rsidRDefault="00FB3DB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BD" w:rsidRPr="00B40BF9" w:rsidRDefault="00FB3DBD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FB3DBD" w:rsidRPr="00B40BF9" w:rsidRDefault="00FB3DBD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Línea Gratuita 018000976000                                                                                                                              </w:t>
    </w:r>
  </w:p>
  <w:p w:rsidR="00FB3DBD" w:rsidRPr="00B40BF9" w:rsidRDefault="00FB3DBD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E-mail: info@ucundinamarca.edu.co</w:t>
    </w:r>
  </w:p>
  <w:p w:rsidR="00FB3DBD" w:rsidRPr="00B40BF9" w:rsidRDefault="00FB3DBD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FB3DBD" w:rsidRPr="00B40BF9" w:rsidRDefault="00FB3DBD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FB3DBD" w:rsidRPr="00B40BF9" w:rsidRDefault="00FB3DB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FB3DBD" w:rsidRPr="00B40BF9" w:rsidRDefault="00FB3DB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BD" w:rsidRDefault="00FB3DBD" w:rsidP="0044036E">
      <w:r>
        <w:separator/>
      </w:r>
    </w:p>
  </w:footnote>
  <w:footnote w:type="continuationSeparator" w:id="0">
    <w:p w:rsidR="00FB3DBD" w:rsidRDefault="00FB3DB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BD" w:rsidRDefault="00FB3DBD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FB3DBD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FB3DBD" w:rsidRPr="00E42895" w:rsidRDefault="00FB3DBD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FB3DBD" w:rsidRPr="00EB3B8E" w:rsidRDefault="00FB3DBD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FB3DBD" w:rsidRPr="00EB3B8E" w:rsidRDefault="00FB3DBD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Pr="00EB3B8E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FB3DBD" w:rsidRPr="00E42895" w:rsidTr="00C5773E">
      <w:trPr>
        <w:trHeight w:val="235"/>
        <w:jc w:val="center"/>
      </w:trPr>
      <w:tc>
        <w:tcPr>
          <w:tcW w:w="1002" w:type="dxa"/>
          <w:vMerge/>
        </w:tcPr>
        <w:p w:rsidR="00FB3DBD" w:rsidRPr="00E42895" w:rsidRDefault="00FB3DBD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FB3DBD" w:rsidRPr="00EB3B8E" w:rsidRDefault="00FB3DBD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BIENES Y SERVICIOS</w:t>
          </w:r>
        </w:p>
      </w:tc>
      <w:tc>
        <w:tcPr>
          <w:tcW w:w="2434" w:type="dxa"/>
          <w:vAlign w:val="center"/>
        </w:tcPr>
        <w:p w:rsidR="00FB3DBD" w:rsidRPr="00EB3B8E" w:rsidRDefault="00FB3DBD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>
            <w:rPr>
              <w:rFonts w:ascii="Arial" w:hAnsi="Arial" w:cs="Arial"/>
              <w:b/>
              <w:color w:val="000000"/>
            </w:rPr>
            <w:t>9</w:t>
          </w:r>
        </w:p>
      </w:tc>
    </w:tr>
    <w:tr w:rsidR="00FB3DBD" w:rsidRPr="00E42895" w:rsidTr="00C5773E">
      <w:trPr>
        <w:trHeight w:val="215"/>
        <w:jc w:val="center"/>
      </w:trPr>
      <w:tc>
        <w:tcPr>
          <w:tcW w:w="1002" w:type="dxa"/>
          <w:vMerge/>
        </w:tcPr>
        <w:p w:rsidR="00FB3DBD" w:rsidRPr="00E42895" w:rsidRDefault="00FB3DBD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FB3DBD" w:rsidRPr="00EB3B8E" w:rsidRDefault="00FB3DBD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 xml:space="preserve">SOLICITUD DE COTIZACIÓN </w:t>
          </w:r>
        </w:p>
      </w:tc>
      <w:tc>
        <w:tcPr>
          <w:tcW w:w="2434" w:type="dxa"/>
          <w:vAlign w:val="center"/>
        </w:tcPr>
        <w:p w:rsidR="00FB3DBD" w:rsidRPr="00EB3B8E" w:rsidRDefault="00FB3DBD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FB3DBD" w:rsidRPr="00E42895" w:rsidTr="00C5773E">
      <w:trPr>
        <w:trHeight w:val="245"/>
        <w:jc w:val="center"/>
      </w:trPr>
      <w:tc>
        <w:tcPr>
          <w:tcW w:w="1002" w:type="dxa"/>
          <w:vMerge/>
        </w:tcPr>
        <w:p w:rsidR="00FB3DBD" w:rsidRPr="00E42895" w:rsidRDefault="00FB3DBD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FB3DBD" w:rsidRPr="00EB3B8E" w:rsidRDefault="00FB3DBD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FB3DBD" w:rsidRPr="00EB3B8E" w:rsidRDefault="00FB3DBD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B71675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B71675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FB3DBD" w:rsidRPr="00B40BF9" w:rsidRDefault="00FB3DBD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76CC5"/>
    <w:multiLevelType w:val="hybridMultilevel"/>
    <w:tmpl w:val="BC5485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6508"/>
    <w:multiLevelType w:val="hybridMultilevel"/>
    <w:tmpl w:val="1BE8141A"/>
    <w:numStyleLink w:val="Estiloimportado23"/>
  </w:abstractNum>
  <w:abstractNum w:abstractNumId="9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C6CEF"/>
    <w:multiLevelType w:val="multilevel"/>
    <w:tmpl w:val="C3FC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4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"/>
  </w:num>
  <w:num w:numId="4">
    <w:abstractNumId w:val="1"/>
  </w:num>
  <w:num w:numId="5">
    <w:abstractNumId w:val="3"/>
  </w:num>
  <w:num w:numId="6">
    <w:abstractNumId w:val="15"/>
  </w:num>
  <w:num w:numId="7">
    <w:abstractNumId w:val="10"/>
  </w:num>
  <w:num w:numId="8">
    <w:abstractNumId w:val="14"/>
  </w:num>
  <w:num w:numId="9">
    <w:abstractNumId w:val="11"/>
  </w:num>
  <w:num w:numId="10">
    <w:abstractNumId w:val="0"/>
  </w:num>
  <w:num w:numId="11">
    <w:abstractNumId w:val="19"/>
  </w:num>
  <w:num w:numId="12">
    <w:abstractNumId w:val="9"/>
  </w:num>
  <w:num w:numId="13">
    <w:abstractNumId w:val="21"/>
  </w:num>
  <w:num w:numId="14">
    <w:abstractNumId w:val="4"/>
  </w:num>
  <w:num w:numId="15">
    <w:abstractNumId w:val="20"/>
  </w:num>
  <w:num w:numId="16">
    <w:abstractNumId w:val="12"/>
  </w:num>
  <w:num w:numId="17">
    <w:abstractNumId w:val="2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5"/>
  </w:num>
  <w:num w:numId="22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142F7"/>
    <w:rsid w:val="00035581"/>
    <w:rsid w:val="00056024"/>
    <w:rsid w:val="00074524"/>
    <w:rsid w:val="000969EB"/>
    <w:rsid w:val="000B3DDA"/>
    <w:rsid w:val="000C253A"/>
    <w:rsid w:val="000D5C15"/>
    <w:rsid w:val="000E6DF8"/>
    <w:rsid w:val="000F4315"/>
    <w:rsid w:val="00116C11"/>
    <w:rsid w:val="00152E87"/>
    <w:rsid w:val="0016278B"/>
    <w:rsid w:val="00166AFA"/>
    <w:rsid w:val="001709D2"/>
    <w:rsid w:val="001723E3"/>
    <w:rsid w:val="0019751A"/>
    <w:rsid w:val="001B6E20"/>
    <w:rsid w:val="001C0AC1"/>
    <w:rsid w:val="001C20B7"/>
    <w:rsid w:val="001D19E1"/>
    <w:rsid w:val="001D3DB0"/>
    <w:rsid w:val="001F446A"/>
    <w:rsid w:val="00204554"/>
    <w:rsid w:val="00205309"/>
    <w:rsid w:val="00211C54"/>
    <w:rsid w:val="0021626A"/>
    <w:rsid w:val="00231107"/>
    <w:rsid w:val="0025575E"/>
    <w:rsid w:val="00285A52"/>
    <w:rsid w:val="002A65E8"/>
    <w:rsid w:val="002A7C97"/>
    <w:rsid w:val="002D2C6D"/>
    <w:rsid w:val="002E4D38"/>
    <w:rsid w:val="0033315E"/>
    <w:rsid w:val="003404A3"/>
    <w:rsid w:val="00340A98"/>
    <w:rsid w:val="003862EB"/>
    <w:rsid w:val="00395921"/>
    <w:rsid w:val="0039749F"/>
    <w:rsid w:val="003B6DA0"/>
    <w:rsid w:val="003E35EA"/>
    <w:rsid w:val="003E6A86"/>
    <w:rsid w:val="00400054"/>
    <w:rsid w:val="0041010A"/>
    <w:rsid w:val="00426526"/>
    <w:rsid w:val="00433887"/>
    <w:rsid w:val="0044036E"/>
    <w:rsid w:val="00442F6B"/>
    <w:rsid w:val="00447B61"/>
    <w:rsid w:val="00470C47"/>
    <w:rsid w:val="00477117"/>
    <w:rsid w:val="00494F5C"/>
    <w:rsid w:val="004A591B"/>
    <w:rsid w:val="004D197D"/>
    <w:rsid w:val="004D20A0"/>
    <w:rsid w:val="004D73AA"/>
    <w:rsid w:val="004E61C8"/>
    <w:rsid w:val="004E7185"/>
    <w:rsid w:val="004F3DFD"/>
    <w:rsid w:val="004F4228"/>
    <w:rsid w:val="005327D0"/>
    <w:rsid w:val="00564D27"/>
    <w:rsid w:val="0059706A"/>
    <w:rsid w:val="005A2B7E"/>
    <w:rsid w:val="005A6779"/>
    <w:rsid w:val="005C4A02"/>
    <w:rsid w:val="00610723"/>
    <w:rsid w:val="006232A8"/>
    <w:rsid w:val="00632C29"/>
    <w:rsid w:val="0063762B"/>
    <w:rsid w:val="00643B03"/>
    <w:rsid w:val="0064730D"/>
    <w:rsid w:val="006607B6"/>
    <w:rsid w:val="00663084"/>
    <w:rsid w:val="00664485"/>
    <w:rsid w:val="0066695B"/>
    <w:rsid w:val="0069115C"/>
    <w:rsid w:val="006935A2"/>
    <w:rsid w:val="006A7944"/>
    <w:rsid w:val="006C5D4D"/>
    <w:rsid w:val="006C6513"/>
    <w:rsid w:val="006C6CE0"/>
    <w:rsid w:val="006D4952"/>
    <w:rsid w:val="006F2B49"/>
    <w:rsid w:val="0070000B"/>
    <w:rsid w:val="00710E5E"/>
    <w:rsid w:val="00711960"/>
    <w:rsid w:val="0071409A"/>
    <w:rsid w:val="00715722"/>
    <w:rsid w:val="00727A5C"/>
    <w:rsid w:val="007409BA"/>
    <w:rsid w:val="007475DA"/>
    <w:rsid w:val="00777A10"/>
    <w:rsid w:val="00793462"/>
    <w:rsid w:val="007C31B3"/>
    <w:rsid w:val="007C4898"/>
    <w:rsid w:val="007C6721"/>
    <w:rsid w:val="007D1DC4"/>
    <w:rsid w:val="007D2922"/>
    <w:rsid w:val="007D59C0"/>
    <w:rsid w:val="007D5F28"/>
    <w:rsid w:val="00800720"/>
    <w:rsid w:val="00806310"/>
    <w:rsid w:val="00806886"/>
    <w:rsid w:val="008168D5"/>
    <w:rsid w:val="00823E4D"/>
    <w:rsid w:val="008463EC"/>
    <w:rsid w:val="00865F1A"/>
    <w:rsid w:val="008716EB"/>
    <w:rsid w:val="008728D2"/>
    <w:rsid w:val="00880382"/>
    <w:rsid w:val="0089161F"/>
    <w:rsid w:val="008A27F8"/>
    <w:rsid w:val="008A66B4"/>
    <w:rsid w:val="008A68CE"/>
    <w:rsid w:val="008A7D3E"/>
    <w:rsid w:val="008A7D91"/>
    <w:rsid w:val="008B1FBD"/>
    <w:rsid w:val="008B7D85"/>
    <w:rsid w:val="008C11EF"/>
    <w:rsid w:val="008D19A3"/>
    <w:rsid w:val="008E54E1"/>
    <w:rsid w:val="008F03BC"/>
    <w:rsid w:val="009034C6"/>
    <w:rsid w:val="00904065"/>
    <w:rsid w:val="009157A9"/>
    <w:rsid w:val="00917F9B"/>
    <w:rsid w:val="00932BFB"/>
    <w:rsid w:val="00933023"/>
    <w:rsid w:val="009361B8"/>
    <w:rsid w:val="00936358"/>
    <w:rsid w:val="00953B68"/>
    <w:rsid w:val="0095467C"/>
    <w:rsid w:val="009706EA"/>
    <w:rsid w:val="00970AB1"/>
    <w:rsid w:val="0097589F"/>
    <w:rsid w:val="00996641"/>
    <w:rsid w:val="009C56C3"/>
    <w:rsid w:val="009F781D"/>
    <w:rsid w:val="00A0190C"/>
    <w:rsid w:val="00A11A5F"/>
    <w:rsid w:val="00A23479"/>
    <w:rsid w:val="00A24966"/>
    <w:rsid w:val="00A32D88"/>
    <w:rsid w:val="00A67113"/>
    <w:rsid w:val="00A86110"/>
    <w:rsid w:val="00A9037C"/>
    <w:rsid w:val="00AA233C"/>
    <w:rsid w:val="00AB4466"/>
    <w:rsid w:val="00AB7115"/>
    <w:rsid w:val="00AC0403"/>
    <w:rsid w:val="00AD7E67"/>
    <w:rsid w:val="00AE0D25"/>
    <w:rsid w:val="00AF45CC"/>
    <w:rsid w:val="00B03AD8"/>
    <w:rsid w:val="00B220D8"/>
    <w:rsid w:val="00B40BF9"/>
    <w:rsid w:val="00B5349E"/>
    <w:rsid w:val="00B621A5"/>
    <w:rsid w:val="00B71675"/>
    <w:rsid w:val="00B74380"/>
    <w:rsid w:val="00BA2F43"/>
    <w:rsid w:val="00BB5855"/>
    <w:rsid w:val="00BC719A"/>
    <w:rsid w:val="00BE3C62"/>
    <w:rsid w:val="00BE7E60"/>
    <w:rsid w:val="00BE7EA6"/>
    <w:rsid w:val="00C00F49"/>
    <w:rsid w:val="00C25823"/>
    <w:rsid w:val="00C31B20"/>
    <w:rsid w:val="00C45A77"/>
    <w:rsid w:val="00C50B79"/>
    <w:rsid w:val="00C521AA"/>
    <w:rsid w:val="00C52339"/>
    <w:rsid w:val="00C5515D"/>
    <w:rsid w:val="00C55666"/>
    <w:rsid w:val="00C55924"/>
    <w:rsid w:val="00C5773E"/>
    <w:rsid w:val="00C60B67"/>
    <w:rsid w:val="00C6160C"/>
    <w:rsid w:val="00C71493"/>
    <w:rsid w:val="00C744E5"/>
    <w:rsid w:val="00C80F0D"/>
    <w:rsid w:val="00C86C7E"/>
    <w:rsid w:val="00C97B44"/>
    <w:rsid w:val="00C97F65"/>
    <w:rsid w:val="00CC248C"/>
    <w:rsid w:val="00CD196D"/>
    <w:rsid w:val="00CF17F8"/>
    <w:rsid w:val="00CF3AA9"/>
    <w:rsid w:val="00D12A07"/>
    <w:rsid w:val="00D2143A"/>
    <w:rsid w:val="00D2762C"/>
    <w:rsid w:val="00D31D3D"/>
    <w:rsid w:val="00D43120"/>
    <w:rsid w:val="00D4347E"/>
    <w:rsid w:val="00D51C02"/>
    <w:rsid w:val="00D57437"/>
    <w:rsid w:val="00D57751"/>
    <w:rsid w:val="00D6204F"/>
    <w:rsid w:val="00D741F8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E0636"/>
    <w:rsid w:val="00DE377C"/>
    <w:rsid w:val="00DF57AF"/>
    <w:rsid w:val="00E004ED"/>
    <w:rsid w:val="00E038BF"/>
    <w:rsid w:val="00E12BA1"/>
    <w:rsid w:val="00E153CF"/>
    <w:rsid w:val="00E22FC5"/>
    <w:rsid w:val="00E31CFD"/>
    <w:rsid w:val="00E373C7"/>
    <w:rsid w:val="00E42895"/>
    <w:rsid w:val="00E511B3"/>
    <w:rsid w:val="00E54660"/>
    <w:rsid w:val="00E55AE8"/>
    <w:rsid w:val="00E642E2"/>
    <w:rsid w:val="00E64A0B"/>
    <w:rsid w:val="00E6531E"/>
    <w:rsid w:val="00E8251B"/>
    <w:rsid w:val="00E92024"/>
    <w:rsid w:val="00EB3B8E"/>
    <w:rsid w:val="00EB60A5"/>
    <w:rsid w:val="00EC2AE4"/>
    <w:rsid w:val="00ED15FD"/>
    <w:rsid w:val="00EE6778"/>
    <w:rsid w:val="00EF0269"/>
    <w:rsid w:val="00F075B2"/>
    <w:rsid w:val="00F23B62"/>
    <w:rsid w:val="00F57538"/>
    <w:rsid w:val="00F97756"/>
    <w:rsid w:val="00FB3DBD"/>
    <w:rsid w:val="00FC5033"/>
    <w:rsid w:val="00FE03CE"/>
    <w:rsid w:val="00FE4554"/>
    <w:rsid w:val="00FF1AB9"/>
    <w:rsid w:val="00FF2837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,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21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h,h8,h9,h10,h18"/>
    <w:basedOn w:val="Normal"/>
    <w:link w:val="EncabezadoCar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515D"/>
    <w:rPr>
      <w:color w:val="954F72"/>
      <w:u w:val="single"/>
    </w:rPr>
  </w:style>
  <w:style w:type="paragraph" w:customStyle="1" w:styleId="xl65">
    <w:name w:val="xl65"/>
    <w:basedOn w:val="Normal"/>
    <w:rsid w:val="00C55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lang w:val="es-CO" w:eastAsia="es-CO"/>
    </w:rPr>
  </w:style>
  <w:style w:type="paragraph" w:customStyle="1" w:styleId="xl66">
    <w:name w:val="xl66"/>
    <w:basedOn w:val="Normal"/>
    <w:rsid w:val="00C55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lang w:val="es-CO" w:eastAsia="es-CO"/>
    </w:rPr>
  </w:style>
  <w:style w:type="paragraph" w:customStyle="1" w:styleId="xl67">
    <w:name w:val="xl67"/>
    <w:basedOn w:val="Normal"/>
    <w:rsid w:val="00C55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CO" w:eastAsia="es-CO"/>
    </w:rPr>
  </w:style>
  <w:style w:type="paragraph" w:customStyle="1" w:styleId="xl68">
    <w:name w:val="xl68"/>
    <w:basedOn w:val="Normal"/>
    <w:rsid w:val="00C55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CO" w:eastAsia="es-CO"/>
    </w:rPr>
  </w:style>
  <w:style w:type="paragraph" w:customStyle="1" w:styleId="xl69">
    <w:name w:val="xl69"/>
    <w:basedOn w:val="Normal"/>
    <w:rsid w:val="00C55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CO" w:eastAsia="es-CO"/>
    </w:rPr>
  </w:style>
  <w:style w:type="paragraph" w:customStyle="1" w:styleId="xl70">
    <w:name w:val="xl70"/>
    <w:basedOn w:val="Normal"/>
    <w:rsid w:val="00C55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CO" w:eastAsia="es-CO"/>
    </w:rPr>
  </w:style>
  <w:style w:type="paragraph" w:customStyle="1" w:styleId="xl71">
    <w:name w:val="xl71"/>
    <w:basedOn w:val="Normal"/>
    <w:rsid w:val="00C55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O" w:eastAsia="es-CO"/>
    </w:rPr>
  </w:style>
  <w:style w:type="paragraph" w:customStyle="1" w:styleId="xl72">
    <w:name w:val="xl72"/>
    <w:basedOn w:val="Normal"/>
    <w:rsid w:val="00C55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O" w:eastAsia="es-CO"/>
    </w:rPr>
  </w:style>
  <w:style w:type="paragraph" w:customStyle="1" w:styleId="xl73">
    <w:name w:val="xl73"/>
    <w:basedOn w:val="Normal"/>
    <w:rsid w:val="00C55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O" w:eastAsia="es-CO"/>
    </w:rPr>
  </w:style>
  <w:style w:type="paragraph" w:customStyle="1" w:styleId="xl74">
    <w:name w:val="xl74"/>
    <w:basedOn w:val="Normal"/>
    <w:rsid w:val="00C55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75">
    <w:name w:val="xl75"/>
    <w:basedOn w:val="Normal"/>
    <w:rsid w:val="00C55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O" w:eastAsia="es-CO"/>
    </w:rPr>
  </w:style>
  <w:style w:type="paragraph" w:customStyle="1" w:styleId="xl76">
    <w:name w:val="xl76"/>
    <w:basedOn w:val="Normal"/>
    <w:rsid w:val="00C55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O" w:eastAsia="es-CO"/>
    </w:rPr>
  </w:style>
  <w:style w:type="paragraph" w:customStyle="1" w:styleId="xl77">
    <w:name w:val="xl77"/>
    <w:basedOn w:val="Normal"/>
    <w:rsid w:val="00C55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214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link w:val="TextoindependienteCar"/>
    <w:rsid w:val="00D214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143A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Textosinformato">
    <w:name w:val="Plain Text"/>
    <w:link w:val="TextosinformatoCar"/>
    <w:rsid w:val="00D214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143A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Textopredeterminado">
    <w:name w:val="Texto predeterminado"/>
    <w:rsid w:val="00D214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143A"/>
    <w:pPr>
      <w:numPr>
        <w:numId w:val="21"/>
      </w:numPr>
    </w:pPr>
  </w:style>
  <w:style w:type="paragraph" w:customStyle="1" w:styleId="Listavistosa-nfasis12">
    <w:name w:val="Lista vistosa - Énfasis 12"/>
    <w:uiPriority w:val="34"/>
    <w:qFormat/>
    <w:rsid w:val="00D214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adrculamedia22">
    <w:name w:val="Cuadrícula media 22"/>
    <w:uiPriority w:val="1"/>
    <w:qFormat/>
    <w:rsid w:val="00D214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14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BE7EA6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4405-2078-49FA-84D3-57A49222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1233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NATHALIA RODRIGUEZ NUÑEZ</cp:lastModifiedBy>
  <cp:revision>13</cp:revision>
  <cp:lastPrinted>2018-05-11T21:07:00Z</cp:lastPrinted>
  <dcterms:created xsi:type="dcterms:W3CDTF">2018-11-13T21:27:00Z</dcterms:created>
  <dcterms:modified xsi:type="dcterms:W3CDTF">2018-12-14T17:09:00Z</dcterms:modified>
</cp:coreProperties>
</file>